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CF" w:rsidRDefault="00D855CF">
      <w:pPr>
        <w:pStyle w:val="ConsPlusTitlePage"/>
      </w:pPr>
      <w:r>
        <w:t xml:space="preserve">Документ предоставлен </w:t>
      </w:r>
      <w:hyperlink r:id="rId5" w:history="1">
        <w:r>
          <w:rPr>
            <w:color w:val="0000FF"/>
          </w:rPr>
          <w:t>КонсультантПлюс</w:t>
        </w:r>
      </w:hyperlink>
      <w:r>
        <w:br/>
      </w:r>
    </w:p>
    <w:p w:rsidR="00D855CF" w:rsidRDefault="00D855CF">
      <w:pPr>
        <w:pStyle w:val="ConsPlusNormal"/>
        <w:jc w:val="both"/>
        <w:outlineLvl w:val="0"/>
      </w:pPr>
    </w:p>
    <w:p w:rsidR="00D855CF" w:rsidRDefault="00D855CF">
      <w:pPr>
        <w:pStyle w:val="ConsPlusNormal"/>
        <w:jc w:val="both"/>
        <w:outlineLvl w:val="0"/>
      </w:pPr>
      <w:r>
        <w:t>Зарегистрировано в Управлении Минюста России по УР 11 ноября 2021 г. N RU18000202101310</w:t>
      </w:r>
    </w:p>
    <w:p w:rsidR="00D855CF" w:rsidRDefault="00D855CF">
      <w:pPr>
        <w:pStyle w:val="ConsPlusNormal"/>
        <w:pBdr>
          <w:top w:val="single" w:sz="6" w:space="0" w:color="auto"/>
        </w:pBdr>
        <w:spacing w:before="100" w:after="100"/>
        <w:jc w:val="both"/>
        <w:rPr>
          <w:sz w:val="2"/>
          <w:szCs w:val="2"/>
        </w:rPr>
      </w:pPr>
    </w:p>
    <w:p w:rsidR="00D855CF" w:rsidRDefault="00D855CF">
      <w:pPr>
        <w:pStyle w:val="ConsPlusNormal"/>
        <w:jc w:val="both"/>
      </w:pPr>
    </w:p>
    <w:p w:rsidR="00D855CF" w:rsidRDefault="00D855CF">
      <w:pPr>
        <w:pStyle w:val="ConsPlusTitle"/>
        <w:jc w:val="center"/>
      </w:pPr>
      <w:r>
        <w:t>ПРАВИТЕЛЬСТВО УДМУРТСКОЙ РЕСПУБЛИКИ</w:t>
      </w:r>
    </w:p>
    <w:p w:rsidR="00D855CF" w:rsidRDefault="00D855CF">
      <w:pPr>
        <w:pStyle w:val="ConsPlusTitle"/>
        <w:ind w:firstLine="540"/>
        <w:jc w:val="both"/>
      </w:pPr>
    </w:p>
    <w:p w:rsidR="00D855CF" w:rsidRDefault="00D855CF">
      <w:pPr>
        <w:pStyle w:val="ConsPlusTitle"/>
        <w:jc w:val="center"/>
      </w:pPr>
      <w:r>
        <w:t>ПОСТАНОВЛЕНИЕ</w:t>
      </w:r>
    </w:p>
    <w:p w:rsidR="00D855CF" w:rsidRDefault="00D855CF">
      <w:pPr>
        <w:pStyle w:val="ConsPlusTitle"/>
        <w:jc w:val="center"/>
      </w:pPr>
      <w:r>
        <w:t>от 9 ноября 2021 г. N 607</w:t>
      </w:r>
    </w:p>
    <w:p w:rsidR="00D855CF" w:rsidRDefault="00D855CF">
      <w:pPr>
        <w:pStyle w:val="ConsPlusTitle"/>
        <w:jc w:val="center"/>
      </w:pPr>
    </w:p>
    <w:p w:rsidR="00D855CF" w:rsidRDefault="00D855CF">
      <w:pPr>
        <w:pStyle w:val="ConsPlusTitle"/>
        <w:jc w:val="center"/>
      </w:pPr>
      <w:r>
        <w:t>О ВНЕСЕНИИ ИЗМЕНЕНИЯ В ПОСТАНОВЛЕНИЕ ПРАВИТЕЛЬСТВА</w:t>
      </w:r>
    </w:p>
    <w:p w:rsidR="00D855CF" w:rsidRDefault="00D855CF">
      <w:pPr>
        <w:pStyle w:val="ConsPlusTitle"/>
        <w:jc w:val="center"/>
      </w:pPr>
      <w:r>
        <w:t>УДМУРТСКОЙ РЕСПУБЛИКИ ОТ 28 МАРТА 2019 ГОДА N 102</w:t>
      </w:r>
    </w:p>
    <w:p w:rsidR="00D855CF" w:rsidRDefault="00D855CF">
      <w:pPr>
        <w:pStyle w:val="ConsPlusTitle"/>
        <w:jc w:val="center"/>
      </w:pPr>
      <w:r>
        <w:t>"ОБ УТВЕРЖДЕНИИ РЕГИОНАЛЬНОЙ АДРЕСНОЙ ПРОГРАММЫ</w:t>
      </w:r>
    </w:p>
    <w:p w:rsidR="00D855CF" w:rsidRDefault="00D855CF">
      <w:pPr>
        <w:pStyle w:val="ConsPlusTitle"/>
        <w:jc w:val="center"/>
      </w:pPr>
      <w:r>
        <w:t>ПО ПЕРЕСЕЛЕНИЮ ГРАЖДАН ИЗ АВАРИЙНОГО ЖИЛИЩНОГО ФОНДА</w:t>
      </w:r>
    </w:p>
    <w:p w:rsidR="00D855CF" w:rsidRDefault="00D855CF">
      <w:pPr>
        <w:pStyle w:val="ConsPlusTitle"/>
        <w:jc w:val="center"/>
      </w:pPr>
      <w:r>
        <w:t>В УДМУРТСКОЙ РЕСПУБЛИКЕ НА 2019 - 2025 ГОДЫ"</w:t>
      </w:r>
    </w:p>
    <w:p w:rsidR="00D855CF" w:rsidRDefault="00D855CF">
      <w:pPr>
        <w:pStyle w:val="ConsPlusNormal"/>
        <w:jc w:val="both"/>
      </w:pPr>
    </w:p>
    <w:p w:rsidR="00D855CF" w:rsidRDefault="00D855CF">
      <w:pPr>
        <w:pStyle w:val="ConsPlusNormal"/>
        <w:ind w:firstLine="540"/>
        <w:jc w:val="both"/>
      </w:pPr>
      <w:r>
        <w:t>Правительство Удмуртской Республики постановляет:</w:t>
      </w:r>
    </w:p>
    <w:p w:rsidR="00D855CF" w:rsidRDefault="00D855CF">
      <w:pPr>
        <w:pStyle w:val="ConsPlusNormal"/>
        <w:spacing w:before="220"/>
        <w:ind w:firstLine="540"/>
        <w:jc w:val="both"/>
      </w:pPr>
      <w:proofErr w:type="gramStart"/>
      <w:r>
        <w:t xml:space="preserve">Внести в Региональную адресную </w:t>
      </w:r>
      <w:hyperlink r:id="rId6" w:history="1">
        <w:r>
          <w:rPr>
            <w:color w:val="0000FF"/>
          </w:rPr>
          <w:t>программу</w:t>
        </w:r>
      </w:hyperlink>
      <w:r>
        <w:t xml:space="preserve"> по переселению граждан из аварийного жилищного фонда в Удмуртской Республике на 2019 - 2025 годы, утвержденную постановлением Правительства Удмуртской Республики от 28 марта 2019 года N 102 "Об утверждении Региональной адресной программы по переселению граждан из аварийного жилищного фонда в Удмуртской Республике на 2019 - 2025 годы", изменение, изложив </w:t>
      </w:r>
      <w:hyperlink r:id="rId7" w:history="1">
        <w:r>
          <w:rPr>
            <w:color w:val="0000FF"/>
          </w:rPr>
          <w:t>приложение 5</w:t>
        </w:r>
      </w:hyperlink>
      <w:r>
        <w:t xml:space="preserve"> в редакции согласно </w:t>
      </w:r>
      <w:hyperlink w:anchor="P40" w:history="1">
        <w:r>
          <w:rPr>
            <w:color w:val="0000FF"/>
          </w:rPr>
          <w:t>приложению</w:t>
        </w:r>
      </w:hyperlink>
      <w:r>
        <w:t>.</w:t>
      </w:r>
      <w:proofErr w:type="gramEnd"/>
    </w:p>
    <w:p w:rsidR="00D855CF" w:rsidRDefault="00D855CF">
      <w:pPr>
        <w:pStyle w:val="ConsPlusNormal"/>
        <w:jc w:val="both"/>
      </w:pPr>
    </w:p>
    <w:p w:rsidR="00D855CF" w:rsidRDefault="00D855CF">
      <w:pPr>
        <w:pStyle w:val="ConsPlusNormal"/>
        <w:jc w:val="right"/>
      </w:pPr>
      <w:proofErr w:type="gramStart"/>
      <w:r>
        <w:t>Исполняющий</w:t>
      </w:r>
      <w:proofErr w:type="gramEnd"/>
      <w:r>
        <w:t xml:space="preserve"> обязанности</w:t>
      </w:r>
    </w:p>
    <w:p w:rsidR="00D855CF" w:rsidRDefault="00D855CF">
      <w:pPr>
        <w:pStyle w:val="ConsPlusNormal"/>
        <w:jc w:val="right"/>
      </w:pPr>
      <w:r>
        <w:t>Председателя Правительства</w:t>
      </w:r>
    </w:p>
    <w:p w:rsidR="00D855CF" w:rsidRDefault="00D855CF">
      <w:pPr>
        <w:pStyle w:val="ConsPlusNormal"/>
        <w:jc w:val="right"/>
      </w:pPr>
      <w:r>
        <w:t>Удмуртской Республики</w:t>
      </w:r>
    </w:p>
    <w:p w:rsidR="00D855CF" w:rsidRDefault="00D855CF">
      <w:pPr>
        <w:pStyle w:val="ConsPlusNormal"/>
        <w:jc w:val="right"/>
      </w:pPr>
      <w:r>
        <w:t>К.А.СУНЦОВ</w:t>
      </w:r>
    </w:p>
    <w:p w:rsidR="00D855CF" w:rsidRDefault="00D855CF">
      <w:pPr>
        <w:pStyle w:val="ConsPlusNormal"/>
        <w:jc w:val="both"/>
      </w:pPr>
    </w:p>
    <w:p w:rsidR="00D855CF" w:rsidRDefault="00D855CF">
      <w:pPr>
        <w:pStyle w:val="ConsPlusNormal"/>
        <w:jc w:val="both"/>
      </w:pPr>
    </w:p>
    <w:p w:rsidR="00D855CF" w:rsidRDefault="00D855CF">
      <w:pPr>
        <w:pStyle w:val="ConsPlusNormal"/>
        <w:jc w:val="both"/>
      </w:pPr>
    </w:p>
    <w:p w:rsidR="00D855CF" w:rsidRDefault="00D855CF">
      <w:pPr>
        <w:pStyle w:val="ConsPlusNormal"/>
        <w:jc w:val="both"/>
      </w:pPr>
    </w:p>
    <w:p w:rsidR="00D855CF" w:rsidRDefault="00D855CF">
      <w:pPr>
        <w:pStyle w:val="ConsPlusNormal"/>
        <w:jc w:val="both"/>
      </w:pPr>
    </w:p>
    <w:p w:rsidR="00D855CF" w:rsidRDefault="00D855CF">
      <w:pPr>
        <w:pStyle w:val="ConsPlusNormal"/>
        <w:jc w:val="right"/>
        <w:outlineLvl w:val="0"/>
      </w:pPr>
      <w:r>
        <w:t>Приложение</w:t>
      </w:r>
    </w:p>
    <w:p w:rsidR="00D855CF" w:rsidRDefault="00D855CF">
      <w:pPr>
        <w:pStyle w:val="ConsPlusNormal"/>
        <w:jc w:val="right"/>
      </w:pPr>
      <w:r>
        <w:t>к постановлению</w:t>
      </w:r>
    </w:p>
    <w:p w:rsidR="00D855CF" w:rsidRDefault="00D855CF">
      <w:pPr>
        <w:pStyle w:val="ConsPlusNormal"/>
        <w:jc w:val="right"/>
      </w:pPr>
      <w:r>
        <w:t>Правительства</w:t>
      </w:r>
    </w:p>
    <w:p w:rsidR="00D855CF" w:rsidRDefault="00D855CF">
      <w:pPr>
        <w:pStyle w:val="ConsPlusNormal"/>
        <w:jc w:val="right"/>
      </w:pPr>
      <w:r>
        <w:t>Удмуртской Республики</w:t>
      </w:r>
    </w:p>
    <w:p w:rsidR="00D855CF" w:rsidRDefault="00D855CF">
      <w:pPr>
        <w:pStyle w:val="ConsPlusNormal"/>
        <w:jc w:val="right"/>
      </w:pPr>
      <w:r>
        <w:t>от 9 ноября 2021 г. N 607</w:t>
      </w:r>
    </w:p>
    <w:p w:rsidR="00D855CF" w:rsidRDefault="00D855CF">
      <w:pPr>
        <w:pStyle w:val="ConsPlusNormal"/>
        <w:jc w:val="both"/>
      </w:pPr>
    </w:p>
    <w:p w:rsidR="00D855CF" w:rsidRDefault="00D855CF">
      <w:pPr>
        <w:pStyle w:val="ConsPlusNormal"/>
        <w:jc w:val="right"/>
      </w:pPr>
      <w:r>
        <w:t>"Приложение 5</w:t>
      </w:r>
    </w:p>
    <w:p w:rsidR="00D855CF" w:rsidRDefault="00D855CF">
      <w:pPr>
        <w:pStyle w:val="ConsPlusNormal"/>
        <w:jc w:val="right"/>
      </w:pPr>
      <w:r>
        <w:t>к Региональной адресной программе</w:t>
      </w:r>
    </w:p>
    <w:p w:rsidR="00D855CF" w:rsidRDefault="00D855CF">
      <w:pPr>
        <w:pStyle w:val="ConsPlusNormal"/>
        <w:jc w:val="right"/>
      </w:pPr>
      <w:r>
        <w:t>по переселению граждан</w:t>
      </w:r>
    </w:p>
    <w:p w:rsidR="00D855CF" w:rsidRDefault="00D855CF">
      <w:pPr>
        <w:pStyle w:val="ConsPlusNormal"/>
        <w:jc w:val="right"/>
      </w:pPr>
      <w:r>
        <w:t>из аварийного жилищного фонда</w:t>
      </w:r>
    </w:p>
    <w:p w:rsidR="00D855CF" w:rsidRDefault="00D855CF">
      <w:pPr>
        <w:pStyle w:val="ConsPlusNormal"/>
        <w:jc w:val="right"/>
      </w:pPr>
      <w:r>
        <w:t>в Удмуртской Республике</w:t>
      </w:r>
    </w:p>
    <w:p w:rsidR="00D855CF" w:rsidRDefault="00D855CF">
      <w:pPr>
        <w:pStyle w:val="ConsPlusNormal"/>
        <w:jc w:val="right"/>
      </w:pPr>
      <w:r>
        <w:t>на 2019 - 2025 годы</w:t>
      </w:r>
    </w:p>
    <w:p w:rsidR="00D855CF" w:rsidRDefault="00D855CF">
      <w:pPr>
        <w:pStyle w:val="ConsPlusNormal"/>
        <w:jc w:val="both"/>
      </w:pPr>
    </w:p>
    <w:p w:rsidR="00D855CF" w:rsidRDefault="00D855CF">
      <w:pPr>
        <w:pStyle w:val="ConsPlusTitle"/>
        <w:jc w:val="center"/>
      </w:pPr>
      <w:bookmarkStart w:id="0" w:name="P40"/>
      <w:bookmarkEnd w:id="0"/>
      <w:r>
        <w:t>РЕКОМЕНДУЕМЫЕ ТРЕБОВАНИЯ</w:t>
      </w:r>
    </w:p>
    <w:p w:rsidR="00D855CF" w:rsidRDefault="00D855CF">
      <w:pPr>
        <w:pStyle w:val="ConsPlusTitle"/>
        <w:jc w:val="center"/>
      </w:pPr>
      <w:r>
        <w:t>К ЖИЛЬЮ, СТРОЯЩЕМУСЯ ИЛИ ПРИОБРЕТАЕМОМУ В РАМКАХ</w:t>
      </w:r>
    </w:p>
    <w:p w:rsidR="00D855CF" w:rsidRDefault="00D855CF">
      <w:pPr>
        <w:pStyle w:val="ConsPlusTitle"/>
        <w:jc w:val="center"/>
      </w:pPr>
      <w:r>
        <w:t>РЕГИОНАЛЬНОЙ АДРЕСНОЙ ПРОГРАММЫ ПО ПЕРЕСЕЛЕНИЮ ГРАЖДАН</w:t>
      </w:r>
    </w:p>
    <w:p w:rsidR="00D855CF" w:rsidRDefault="00D855CF">
      <w:pPr>
        <w:pStyle w:val="ConsPlusTitle"/>
        <w:jc w:val="center"/>
      </w:pPr>
      <w:r>
        <w:t>ИЗ АВАРИЙНОГО ЖИЛИЩНОГО ФОНДА В УДМУРТСКОЙ РЕСПУБЛИКЕ</w:t>
      </w:r>
    </w:p>
    <w:p w:rsidR="00D855CF" w:rsidRDefault="00D855CF">
      <w:pPr>
        <w:pStyle w:val="ConsPlusTitle"/>
        <w:jc w:val="center"/>
      </w:pPr>
      <w:r>
        <w:t>НА 2019 - 2025 ГОДЫ</w:t>
      </w:r>
    </w:p>
    <w:p w:rsidR="00D855CF" w:rsidRDefault="00D855CF">
      <w:pPr>
        <w:pStyle w:val="ConsPlusNormal"/>
        <w:jc w:val="both"/>
      </w:pPr>
    </w:p>
    <w:p w:rsidR="00D855CF" w:rsidRDefault="00D855CF">
      <w:pPr>
        <w:pStyle w:val="ConsPlusNormal"/>
        <w:ind w:firstLine="540"/>
        <w:jc w:val="both"/>
      </w:pPr>
      <w:proofErr w:type="gramStart"/>
      <w:r>
        <w:lastRenderedPageBreak/>
        <w:t>Данные требования рекомендуется учитывать муниципальным заказчикам органов местного самоуправления муниципальных районов, муниципальных округов, городских округов, образованных на территории Удмуртской Республики, при подготовке документации на проведение закупок в целях реализации Региональной адресной программы по переселению граждан из аварийного жилищного фонда в Удмуртской Республике на 2019 - 2025 годы, за исключением контрактов на выкуп помещений у собственников и контрактов на покупку жилых помещений</w:t>
      </w:r>
      <w:proofErr w:type="gramEnd"/>
      <w:r>
        <w:t xml:space="preserve"> у лиц, не являющихся застройщиками в домах, введенных в эксплуатацию.</w:t>
      </w:r>
    </w:p>
    <w:p w:rsidR="00D855CF" w:rsidRDefault="00D855CF">
      <w:pPr>
        <w:pStyle w:val="ConsPlusNormal"/>
        <w:spacing w:before="220"/>
        <w:ind w:firstLine="540"/>
        <w:jc w:val="both"/>
      </w:pPr>
      <w:r>
        <w:t>Требования к жилым помещениям, приобретаемым по контрактам на покупку жилых помещений у лиц, не являющихся застройщиками в домах, введенных в эксплуатацию, устанавливаются муниципальным заказчиком самостоятельно.</w:t>
      </w:r>
    </w:p>
    <w:p w:rsidR="00D855CF" w:rsidRDefault="00D855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5556"/>
      </w:tblGrid>
      <w:tr w:rsidR="00D855CF">
        <w:tc>
          <w:tcPr>
            <w:tcW w:w="510" w:type="dxa"/>
          </w:tcPr>
          <w:p w:rsidR="00D855CF" w:rsidRDefault="00D855CF">
            <w:pPr>
              <w:pStyle w:val="ConsPlusNormal"/>
              <w:jc w:val="center"/>
            </w:pPr>
            <w:r>
              <w:t xml:space="preserve">N </w:t>
            </w:r>
            <w:proofErr w:type="gramStart"/>
            <w:r>
              <w:t>п</w:t>
            </w:r>
            <w:proofErr w:type="gramEnd"/>
            <w:r>
              <w:t>/п</w:t>
            </w:r>
          </w:p>
        </w:tc>
        <w:tc>
          <w:tcPr>
            <w:tcW w:w="3005" w:type="dxa"/>
          </w:tcPr>
          <w:p w:rsidR="00D855CF" w:rsidRDefault="00D855CF">
            <w:pPr>
              <w:pStyle w:val="ConsPlusNormal"/>
              <w:jc w:val="center"/>
            </w:pPr>
            <w:r>
              <w:t>Наименование требования</w:t>
            </w:r>
          </w:p>
        </w:tc>
        <w:tc>
          <w:tcPr>
            <w:tcW w:w="5556" w:type="dxa"/>
          </w:tcPr>
          <w:p w:rsidR="00D855CF" w:rsidRDefault="00D855CF">
            <w:pPr>
              <w:pStyle w:val="ConsPlusNormal"/>
              <w:jc w:val="center"/>
            </w:pPr>
            <w:r>
              <w:t>Содержание требования</w:t>
            </w:r>
          </w:p>
        </w:tc>
      </w:tr>
      <w:tr w:rsidR="00D855CF">
        <w:tc>
          <w:tcPr>
            <w:tcW w:w="510" w:type="dxa"/>
          </w:tcPr>
          <w:p w:rsidR="00D855CF" w:rsidRDefault="00D855CF">
            <w:pPr>
              <w:pStyle w:val="ConsPlusNormal"/>
              <w:jc w:val="center"/>
            </w:pPr>
            <w:r>
              <w:t>1</w:t>
            </w:r>
          </w:p>
        </w:tc>
        <w:tc>
          <w:tcPr>
            <w:tcW w:w="3005" w:type="dxa"/>
          </w:tcPr>
          <w:p w:rsidR="00D855CF" w:rsidRDefault="00D855CF">
            <w:pPr>
              <w:pStyle w:val="ConsPlusNormal"/>
            </w:pPr>
            <w:r>
              <w:t>Требования к проектной документации на дом</w:t>
            </w:r>
          </w:p>
        </w:tc>
        <w:tc>
          <w:tcPr>
            <w:tcW w:w="5556" w:type="dxa"/>
          </w:tcPr>
          <w:p w:rsidR="00D855CF" w:rsidRDefault="00D855CF">
            <w:pPr>
              <w:pStyle w:val="ConsPlusNormal"/>
            </w:pPr>
            <w:proofErr w:type="gramStart"/>
            <w: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должны быть установлены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D855CF" w:rsidRDefault="00D855CF">
            <w:pPr>
              <w:pStyle w:val="ConsPlusNormal"/>
            </w:pPr>
            <w:r>
              <w:t>Проектная документация разрабатывается в соответствии с требованиями:</w:t>
            </w:r>
          </w:p>
          <w:p w:rsidR="00D855CF" w:rsidRDefault="00D855CF">
            <w:pPr>
              <w:pStyle w:val="ConsPlusNormal"/>
            </w:pPr>
            <w:hyperlink r:id="rId8" w:history="1">
              <w:r>
                <w:rPr>
                  <w:color w:val="0000FF"/>
                </w:rPr>
                <w:t>постановления</w:t>
              </w:r>
            </w:hyperlink>
            <w:r>
              <w:t xml:space="preserve"> Правительства Российской Федерации от 16 февраля 2008 года N 87 "О составе разделов проектной документации и требованиях к их содержанию";</w:t>
            </w:r>
          </w:p>
          <w:p w:rsidR="00D855CF" w:rsidRDefault="00D855CF">
            <w:pPr>
              <w:pStyle w:val="ConsPlusNormal"/>
            </w:pPr>
            <w:r>
              <w:t xml:space="preserve">Федерального </w:t>
            </w:r>
            <w:hyperlink r:id="rId9" w:history="1">
              <w:r>
                <w:rPr>
                  <w:color w:val="0000FF"/>
                </w:rPr>
                <w:t>закона</w:t>
              </w:r>
            </w:hyperlink>
            <w:r>
              <w:t xml:space="preserve"> от 22 июля 2008 года N 123-ФЗ "Технический регламент о требованиях пожарной безопасности";</w:t>
            </w:r>
          </w:p>
          <w:p w:rsidR="00D855CF" w:rsidRDefault="00D855CF">
            <w:pPr>
              <w:pStyle w:val="ConsPlusNormal"/>
            </w:pPr>
            <w:r>
              <w:t xml:space="preserve">Федерального </w:t>
            </w:r>
            <w:hyperlink r:id="rId10" w:history="1">
              <w:r>
                <w:rPr>
                  <w:color w:val="0000FF"/>
                </w:rPr>
                <w:t>закона</w:t>
              </w:r>
            </w:hyperlink>
            <w:r>
              <w:t xml:space="preserve"> от 30 декабря 2009 года N 384-ФЗ "Технический регламент о безопасности зданий и сооружений";</w:t>
            </w:r>
          </w:p>
          <w:p w:rsidR="00D855CF" w:rsidRDefault="00D855CF">
            <w:pPr>
              <w:pStyle w:val="ConsPlusNormal"/>
            </w:pPr>
            <w:hyperlink r:id="rId11" w:history="1">
              <w:r>
                <w:rPr>
                  <w:color w:val="0000FF"/>
                </w:rPr>
                <w:t>СП 42.13330.2016</w:t>
              </w:r>
            </w:hyperlink>
            <w:r>
              <w:t xml:space="preserve"> "Градостроительство. Планировка и застройка городских и сельских поселений";</w:t>
            </w:r>
          </w:p>
          <w:p w:rsidR="00D855CF" w:rsidRDefault="00D855CF">
            <w:pPr>
              <w:pStyle w:val="ConsPlusNormal"/>
            </w:pPr>
            <w:hyperlink r:id="rId12" w:history="1">
              <w:r>
                <w:rPr>
                  <w:color w:val="0000FF"/>
                </w:rPr>
                <w:t>СП 54.13330.2016</w:t>
              </w:r>
            </w:hyperlink>
            <w:r>
              <w:t xml:space="preserve"> "Здания жилые многоквартирные";</w:t>
            </w:r>
          </w:p>
          <w:p w:rsidR="00D855CF" w:rsidRDefault="00D855CF">
            <w:pPr>
              <w:pStyle w:val="ConsPlusNormal"/>
            </w:pPr>
            <w:hyperlink r:id="rId13" w:history="1">
              <w:r>
                <w:rPr>
                  <w:color w:val="0000FF"/>
                </w:rPr>
                <w:t>СП 59.13330.2016</w:t>
              </w:r>
            </w:hyperlink>
            <w:r>
              <w:t xml:space="preserve"> "Доступность зданий и сооружений для маломобильных групп населения";</w:t>
            </w:r>
          </w:p>
          <w:p w:rsidR="00D855CF" w:rsidRDefault="00D855CF">
            <w:pPr>
              <w:pStyle w:val="ConsPlusNormal"/>
            </w:pPr>
            <w:hyperlink r:id="rId14" w:history="1">
              <w:r>
                <w:rPr>
                  <w:color w:val="0000FF"/>
                </w:rPr>
                <w:t>СП 14.13330.2018</w:t>
              </w:r>
            </w:hyperlink>
            <w:r>
              <w:t xml:space="preserve"> "Строительство в сейсмических районах";</w:t>
            </w:r>
          </w:p>
          <w:p w:rsidR="00D855CF" w:rsidRDefault="00D855CF">
            <w:pPr>
              <w:pStyle w:val="ConsPlusNormal"/>
            </w:pPr>
            <w:hyperlink r:id="rId15" w:history="1">
              <w:r>
                <w:rPr>
                  <w:color w:val="0000FF"/>
                </w:rPr>
                <w:t>СП 22.13330.2016</w:t>
              </w:r>
            </w:hyperlink>
            <w:r>
              <w:t xml:space="preserve"> "Основания зданий и сооружений";</w:t>
            </w:r>
          </w:p>
          <w:p w:rsidR="00D855CF" w:rsidRDefault="00D855CF">
            <w:pPr>
              <w:pStyle w:val="ConsPlusNormal"/>
            </w:pPr>
            <w:hyperlink r:id="rId16" w:history="1">
              <w:r>
                <w:rPr>
                  <w:color w:val="0000FF"/>
                </w:rPr>
                <w:t>СП 2.13130.2020</w:t>
              </w:r>
            </w:hyperlink>
            <w:r>
              <w:t xml:space="preserve"> "Системы противопожарной защиты. Обеспечение огнестойкости объектов защиты";</w:t>
            </w:r>
          </w:p>
          <w:p w:rsidR="00D855CF" w:rsidRDefault="00D855CF">
            <w:pPr>
              <w:pStyle w:val="ConsPlusNormal"/>
            </w:pPr>
            <w:hyperlink r:id="rId17" w:history="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855CF" w:rsidRDefault="00D855CF">
            <w:pPr>
              <w:pStyle w:val="ConsPlusNormal"/>
            </w:pPr>
            <w:hyperlink r:id="rId18" w:history="1">
              <w:r>
                <w:rPr>
                  <w:color w:val="0000FF"/>
                </w:rPr>
                <w:t>СП 255.1325800.2016</w:t>
              </w:r>
            </w:hyperlink>
            <w:r>
              <w:t xml:space="preserve"> "Здания и сооружения. Правила </w:t>
            </w:r>
            <w:r>
              <w:lastRenderedPageBreak/>
              <w:t>эксплуатации. Основные положения".</w:t>
            </w:r>
          </w:p>
          <w:p w:rsidR="00D855CF" w:rsidRDefault="00D855CF">
            <w:pPr>
              <w:pStyle w:val="ConsPlusNormal"/>
            </w:pPr>
            <w:r>
              <w:t xml:space="preserve">Оформление проектной документации осуществляется в соответствии с </w:t>
            </w:r>
            <w:hyperlink r:id="rId19" w:history="1">
              <w:r>
                <w:rPr>
                  <w:color w:val="0000FF"/>
                </w:rPr>
                <w:t xml:space="preserve">ГОСТ </w:t>
              </w:r>
              <w:proofErr w:type="gramStart"/>
              <w:r>
                <w:rPr>
                  <w:color w:val="0000FF"/>
                </w:rPr>
                <w:t>Р</w:t>
              </w:r>
              <w:proofErr w:type="gramEnd"/>
              <w:r>
                <w:rPr>
                  <w:color w:val="0000FF"/>
                </w:rPr>
                <w:t xml:space="preserve"> 21.101-2020</w:t>
              </w:r>
            </w:hyperlink>
            <w:r>
              <w:t xml:space="preserve">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D855CF" w:rsidRDefault="00D855CF">
            <w:pPr>
              <w:pStyle w:val="ConsPlusNormal"/>
            </w:pPr>
            <w:proofErr w:type="gramStart"/>
            <w:r>
              <w:t xml:space="preserve">Строящиеся многоквартирные дома, а также подлежащие приобретению жилые помещения должны соответствовать положениям санитарно-эпидемиологических </w:t>
            </w:r>
            <w:hyperlink r:id="rId20" w:history="1">
              <w:r>
                <w:rPr>
                  <w:color w:val="0000FF"/>
                </w:rPr>
                <w:t>правил и норм</w:t>
              </w:r>
            </w:hyperlink>
            <w: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w:t>
            </w:r>
            <w:proofErr w:type="gramEnd"/>
            <w:r>
              <w:t xml:space="preserve"> 28 января 2021 года N 3</w:t>
            </w:r>
          </w:p>
        </w:tc>
      </w:tr>
      <w:tr w:rsidR="00D855CF">
        <w:tc>
          <w:tcPr>
            <w:tcW w:w="510" w:type="dxa"/>
          </w:tcPr>
          <w:p w:rsidR="00D855CF" w:rsidRDefault="00D855CF">
            <w:pPr>
              <w:pStyle w:val="ConsPlusNormal"/>
              <w:jc w:val="center"/>
            </w:pPr>
            <w:r>
              <w:lastRenderedPageBreak/>
              <w:t>2</w:t>
            </w:r>
          </w:p>
        </w:tc>
        <w:tc>
          <w:tcPr>
            <w:tcW w:w="3005" w:type="dxa"/>
          </w:tcPr>
          <w:p w:rsidR="00D855CF" w:rsidRDefault="00D855CF">
            <w:pPr>
              <w:pStyle w:val="ConsPlusNormal"/>
            </w:pPr>
            <w:r>
              <w:t>Требования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5556" w:type="dxa"/>
          </w:tcPr>
          <w:p w:rsidR="00D855CF" w:rsidRDefault="00D855CF">
            <w:pPr>
              <w:pStyle w:val="ConsPlusNormal"/>
            </w:pPr>
            <w:r>
              <w:t>Строящиеся дома должны иметь:</w:t>
            </w:r>
          </w:p>
          <w:p w:rsidR="00D855CF" w:rsidRDefault="00D855CF">
            <w:pPr>
              <w:pStyle w:val="ConsPlusNormal"/>
            </w:pPr>
            <w:r>
              <w:t>положительное заключение проведенной в соответствии с требованиями градостроительного законодательства экспертизы в отношении проектной документации на строительство дома;</w:t>
            </w:r>
          </w:p>
          <w:p w:rsidR="00D855CF" w:rsidRDefault="00D855CF">
            <w:pPr>
              <w:pStyle w:val="ConsPlusNormal"/>
            </w:pPr>
            <w:r>
              <w:t>несущие строительные конструкции, выполненные из следующих материалов:</w:t>
            </w:r>
          </w:p>
          <w:p w:rsidR="00D855CF" w:rsidRDefault="00D855CF">
            <w:pPr>
              <w:pStyle w:val="ConsPlusNormal"/>
            </w:pPr>
            <w: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55CF" w:rsidRDefault="00D855CF">
            <w:pPr>
              <w:pStyle w:val="ConsPlusNormal"/>
            </w:pPr>
            <w:r>
              <w:t>б) перекрытия из сборных и монолитных железобетонных конструкций;</w:t>
            </w:r>
          </w:p>
          <w:p w:rsidR="00D855CF" w:rsidRDefault="00D855CF">
            <w:pPr>
              <w:pStyle w:val="ConsPlusNormal"/>
            </w:pPr>
            <w:r>
              <w:t>в) фундаменты из сборных и монолитных железобетонных и каменных конструкций;</w:t>
            </w:r>
          </w:p>
          <w:p w:rsidR="00D855CF" w:rsidRDefault="00D855CF">
            <w:pPr>
              <w:pStyle w:val="ConsPlusNormal"/>
            </w:pPr>
            <w:r>
              <w:t>подключение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D855CF" w:rsidRDefault="00D855CF">
            <w:pPr>
              <w:pStyle w:val="ConsPlusNormal"/>
            </w:pPr>
            <w:r>
              <w:t>санитарный узел (раздельный или совмещенный), который должен быть внутриквартирным и включать ванну, унитаз, раковину;</w:t>
            </w:r>
          </w:p>
          <w:p w:rsidR="00D855CF" w:rsidRDefault="00D855CF">
            <w:pPr>
              <w:pStyle w:val="ConsPlusNormal"/>
            </w:pPr>
            <w:r>
              <w:t>внутридомовые инженерные системы, включая системы:</w:t>
            </w:r>
          </w:p>
          <w:p w:rsidR="00D855CF" w:rsidRDefault="00D855CF">
            <w:pPr>
              <w:pStyle w:val="ConsPlusNormal"/>
            </w:pPr>
            <w:r>
              <w:t>а) электроснабжения (с силовым и иным электрооборудованием в соответствии с проектной документацией);</w:t>
            </w:r>
          </w:p>
          <w:p w:rsidR="00D855CF" w:rsidRDefault="00D855CF">
            <w:pPr>
              <w:pStyle w:val="ConsPlusNormal"/>
            </w:pPr>
            <w:r>
              <w:t>б) холодного водоснабжения;</w:t>
            </w:r>
          </w:p>
          <w:p w:rsidR="00D855CF" w:rsidRDefault="00D855CF">
            <w:pPr>
              <w:pStyle w:val="ConsPlusNormal"/>
            </w:pPr>
            <w:r>
              <w:t xml:space="preserve">в) водоотведения (канализации), при отсутствии централизованной системы наружного водоотведения (канализации) рекомендуется устройство автономных систем для каждой квартиры одноэтажных </w:t>
            </w:r>
            <w:r>
              <w:lastRenderedPageBreak/>
              <w:t>многоквартирных домов или устройство общей автономной системы для многоквартирных домов выше одного этажа (в соответствии с проектной документацией);</w:t>
            </w:r>
          </w:p>
          <w:p w:rsidR="00D855CF" w:rsidRDefault="00D855CF">
            <w:pPr>
              <w:pStyle w:val="ConsPlusNormal"/>
            </w:pPr>
            <w: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(в соответствии с проектной документацией);</w:t>
            </w:r>
          </w:p>
          <w:p w:rsidR="00D855CF" w:rsidRDefault="00D855CF">
            <w:pPr>
              <w:pStyle w:val="ConsPlusNormal"/>
            </w:pPr>
            <w:r>
              <w:t>д) отопления (при отсутствии централизованного отопления и наличии газа рекомендуется установка коллективных или индивидуальных газовых котлов, при отсутствии централизованного отопления и отсутствии газоснабжения рекомендуется установка коллективных или индивидуальных электроотопительных водогрейных котлов в соответствии с проектной документацией и техническими условиями на присоединение электроустановок к электрическим сетям);</w:t>
            </w:r>
          </w:p>
          <w:p w:rsidR="00D855CF" w:rsidRDefault="00D855CF">
            <w:pPr>
              <w:pStyle w:val="ConsPlusNormal"/>
            </w:pPr>
            <w:r>
              <w:t>е) горячего водоснабжения;</w:t>
            </w:r>
          </w:p>
          <w:p w:rsidR="00D855CF" w:rsidRDefault="00D855CF">
            <w:pPr>
              <w:pStyle w:val="ConsPlusNormal"/>
            </w:pPr>
            <w:r>
              <w:t>ж) противопожарной безопасности (в соответствии с проектной документацией);</w:t>
            </w:r>
          </w:p>
          <w:p w:rsidR="00D855CF" w:rsidRDefault="00D855CF">
            <w:pPr>
              <w:pStyle w:val="ConsPlusNormal"/>
            </w:pPr>
            <w:r>
              <w:t>з) мусороудаления (при наличии в соответствии с проектной документацией);</w:t>
            </w:r>
          </w:p>
          <w:p w:rsidR="00D855CF" w:rsidRDefault="00D855CF">
            <w:pPr>
              <w:pStyle w:val="ConsPlusNormal"/>
            </w:pPr>
            <w:r>
              <w:t>в случае экономической целесообразности рекомендуется использовать локальные системы энергоснабжения;</w:t>
            </w:r>
          </w:p>
          <w:p w:rsidR="00D855CF" w:rsidRDefault="00D855CF">
            <w:pPr>
              <w:pStyle w:val="ConsPlusNormal"/>
            </w:pPr>
            <w:r>
              <w:t>принятые в эксплуатацию и зарегистрированные в установленном порядке лифты (при наличии в соответствии с проектной документацией);</w:t>
            </w:r>
          </w:p>
          <w:p w:rsidR="00D855CF" w:rsidRDefault="00D855CF">
            <w:pPr>
              <w:pStyle w:val="ConsPlusNormal"/>
            </w:pPr>
            <w:r>
              <w:t>лифты, установленные в многоквартирных домах согласно проектному решению, рекомендуется оснащать:</w:t>
            </w:r>
          </w:p>
          <w:p w:rsidR="00D855CF" w:rsidRDefault="00D855CF">
            <w:pPr>
              <w:pStyle w:val="ConsPlusNormal"/>
            </w:pPr>
            <w:r>
              <w:t>а) кабиной, предназначенной для пользования инвалидом на кресле-коляске с сопровождающим лицом;</w:t>
            </w:r>
          </w:p>
          <w:p w:rsidR="00D855CF" w:rsidRDefault="00D855CF">
            <w:pPr>
              <w:pStyle w:val="ConsPlusNormal"/>
            </w:pPr>
            <w:r>
              <w:t>б) оборудованием для связи с диспетчером;</w:t>
            </w:r>
          </w:p>
          <w:p w:rsidR="00D855CF" w:rsidRDefault="00D855CF">
            <w:pPr>
              <w:pStyle w:val="ConsPlusNormal"/>
            </w:pPr>
            <w:r>
              <w:t>в) аварийным освещением кабины лифта;</w:t>
            </w:r>
          </w:p>
          <w:p w:rsidR="00D855CF" w:rsidRDefault="00D855CF">
            <w:pPr>
              <w:pStyle w:val="ConsPlusNormal"/>
            </w:pPr>
            <w:r>
              <w:t>г) светодиодным освещением кабины лифта в антивандальном исполнении;</w:t>
            </w:r>
          </w:p>
          <w:p w:rsidR="00D855CF" w:rsidRDefault="00D855CF">
            <w:pPr>
              <w:pStyle w:val="ConsPlusNormal"/>
            </w:pPr>
            <w:r>
              <w:t>д) панелью управления кабиной лифта в антивандальном исполнении;</w:t>
            </w:r>
          </w:p>
          <w:p w:rsidR="00D855CF" w:rsidRDefault="00D855CF">
            <w:pPr>
              <w:pStyle w:val="ConsPlusNormal"/>
            </w:pPr>
            <w:proofErr w:type="gramStart"/>
            <w:r>
              <w:t>внесенные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энергии, холодной воды, горячей воды (при централизованном теплоснабжении в установленных случаях);</w:t>
            </w:r>
            <w:proofErr w:type="gramEnd"/>
          </w:p>
          <w:p w:rsidR="00D855CF" w:rsidRDefault="00D855CF">
            <w:pPr>
              <w:pStyle w:val="ConsPlusNormal"/>
            </w:pPr>
            <w:r>
              <w:lastRenderedPageBreak/>
              <w:t>легкосбрасываемые оконные блоки (в соответствии с проектной документацией);</w:t>
            </w:r>
          </w:p>
          <w:p w:rsidR="00D855CF" w:rsidRDefault="00D855CF">
            <w:pPr>
              <w:pStyle w:val="ConsPlusNormal"/>
            </w:pPr>
            <w:r>
              <w:t>освещение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D855CF" w:rsidRDefault="00D855CF">
            <w:pPr>
              <w:pStyle w:val="ConsPlusNormal"/>
            </w:pPr>
            <w:proofErr w:type="gramStart"/>
            <w:r>
              <w:t>при входах в подъезды дома освещение с использованием светильников в антивандальном исполнении со светодиодным источником</w:t>
            </w:r>
            <w:proofErr w:type="gramEnd"/>
            <w:r>
              <w:t xml:space="preserve"> света и датчиков освещенности, козырьки над входной дверью и утепленные дверные блоки с ручками и автодоводчиком;</w:t>
            </w:r>
          </w:p>
          <w:p w:rsidR="00D855CF" w:rsidRDefault="00D855CF">
            <w:pPr>
              <w:pStyle w:val="ConsPlusNormal"/>
            </w:pPr>
            <w:r>
              <w:t>во входах в подвал (техническое подполье) дома металлические дверные блоки с замком, ручками и автодоводчиком;</w:t>
            </w:r>
          </w:p>
          <w:p w:rsidR="00D855CF" w:rsidRDefault="00D855CF">
            <w:pPr>
              <w:pStyle w:val="ConsPlusNormal"/>
            </w:pPr>
            <w:r>
              <w:t>отмостку из армированного бетона, асфальта, устроенную по всему периметру дома и обеспечивающую отвод воды от фундаментов;</w:t>
            </w:r>
          </w:p>
          <w:p w:rsidR="00D855CF" w:rsidRDefault="00D855CF">
            <w:pPr>
              <w:pStyle w:val="ConsPlusNormal"/>
            </w:pPr>
            <w:r>
              <w:t>при необходимости организованный водосток; благоустройство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p w:rsidR="00D855CF" w:rsidRDefault="00D855CF">
            <w:pPr>
              <w:pStyle w:val="ConsPlusNormal"/>
            </w:pPr>
            <w:r>
              <w:t xml:space="preserve">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w:t>
            </w:r>
            <w:proofErr w:type="gramStart"/>
            <w:r>
              <w:t>сэндвич-панелей</w:t>
            </w:r>
            <w:proofErr w:type="gramEnd"/>
          </w:p>
        </w:tc>
      </w:tr>
      <w:tr w:rsidR="00D855CF">
        <w:tc>
          <w:tcPr>
            <w:tcW w:w="510" w:type="dxa"/>
          </w:tcPr>
          <w:p w:rsidR="00D855CF" w:rsidRDefault="00D855CF">
            <w:pPr>
              <w:pStyle w:val="ConsPlusNormal"/>
              <w:jc w:val="center"/>
            </w:pPr>
            <w:r>
              <w:lastRenderedPageBreak/>
              <w:t>3</w:t>
            </w:r>
          </w:p>
        </w:tc>
        <w:tc>
          <w:tcPr>
            <w:tcW w:w="3005" w:type="dxa"/>
          </w:tcPr>
          <w:p w:rsidR="00D855CF" w:rsidRDefault="00D855CF">
            <w:pPr>
              <w:pStyle w:val="ConsPlusNormal"/>
            </w:pPr>
            <w:r>
              <w:t>Требования к функциональному оснащению и отделке помещений</w:t>
            </w:r>
          </w:p>
        </w:tc>
        <w:tc>
          <w:tcPr>
            <w:tcW w:w="5556" w:type="dxa"/>
          </w:tcPr>
          <w:p w:rsidR="00D855CF" w:rsidRDefault="00D855CF">
            <w:pPr>
              <w:pStyle w:val="ConsPlusNormal"/>
            </w:pPr>
            <w:r>
              <w:t xml:space="preserve">Построенные и приобретаемые жилые помещения для переселения граждан из аварийного жилищного фонда должны располагаться на любых этажах дома, </w:t>
            </w:r>
            <w:proofErr w:type="gramStart"/>
            <w:r>
              <w:t>кроме</w:t>
            </w:r>
            <w:proofErr w:type="gramEnd"/>
            <w:r>
              <w:t xml:space="preserve"> подвального, цокольного, технического, мансардного, и должны быть:</w:t>
            </w:r>
          </w:p>
          <w:p w:rsidR="00D855CF" w:rsidRDefault="00D855CF">
            <w:pPr>
              <w:pStyle w:val="ConsPlusNormal"/>
            </w:pPr>
            <w:proofErr w:type="gramStart"/>
            <w:r>
              <w:t>оборудованы</w:t>
            </w:r>
            <w:proofErr w:type="gramEnd"/>
            <w:r>
              <w:t xml:space="preserve"> подключенными к соответствующим внутридомовым инженерным системам внутриквартирными инженерными сетями в составе (не менее):</w:t>
            </w:r>
          </w:p>
          <w:p w:rsidR="00D855CF" w:rsidRDefault="00D855CF">
            <w:pPr>
              <w:pStyle w:val="ConsPlusNormal"/>
            </w:pPr>
            <w:r>
              <w:t>а) электроснабжения с электрическим щитком с устройствами защитного отключения;</w:t>
            </w:r>
          </w:p>
          <w:p w:rsidR="00D855CF" w:rsidRDefault="00D855CF">
            <w:pPr>
              <w:pStyle w:val="ConsPlusNormal"/>
            </w:pPr>
            <w:r>
              <w:t>б) холодного водоснабжения;</w:t>
            </w:r>
          </w:p>
          <w:p w:rsidR="00D855CF" w:rsidRDefault="00D855CF">
            <w:pPr>
              <w:pStyle w:val="ConsPlusNormal"/>
            </w:pPr>
            <w:r>
              <w:t>в) горячего водоснабжения (централизованного или автономного);</w:t>
            </w:r>
          </w:p>
          <w:p w:rsidR="00D855CF" w:rsidRDefault="00D855CF">
            <w:pPr>
              <w:pStyle w:val="ConsPlusNormal"/>
            </w:pPr>
            <w:r>
              <w:t>г) водоотведения (канализации) (централизованного или автономного);</w:t>
            </w:r>
          </w:p>
          <w:p w:rsidR="00D855CF" w:rsidRDefault="00D855CF">
            <w:pPr>
              <w:pStyle w:val="ConsPlusNormal"/>
            </w:pPr>
            <w:r>
              <w:t>д) отопления (централизованного или автономного);</w:t>
            </w:r>
          </w:p>
          <w:p w:rsidR="00D855CF" w:rsidRDefault="00D855CF">
            <w:pPr>
              <w:pStyle w:val="ConsPlusNormal"/>
            </w:pPr>
            <w:r>
              <w:t>е) вентиляции с приточными клапанами наружного воздуха, установленными в наружных стеновых конструкциях жилых комнат и в помещении кухни, и вытяжной системой вентиляции квартиры;</w:t>
            </w:r>
          </w:p>
          <w:p w:rsidR="00D855CF" w:rsidRDefault="00D855CF">
            <w:pPr>
              <w:pStyle w:val="ConsPlusNormal"/>
            </w:pPr>
            <w:r>
              <w:t>ж) газоснабжения (при наличии в соответствии с проектной документацией);</w:t>
            </w:r>
          </w:p>
          <w:p w:rsidR="00D855CF" w:rsidRDefault="00D855CF">
            <w:pPr>
              <w:pStyle w:val="ConsPlusNormal"/>
            </w:pPr>
            <w:proofErr w:type="gramStart"/>
            <w:r>
              <w:lastRenderedPageBreak/>
              <w:t>з) внесенными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D855CF" w:rsidRDefault="00D855CF">
            <w:pPr>
              <w:pStyle w:val="ConsPlusNormal"/>
            </w:pPr>
            <w:r>
              <w:t>иметь чистовую отделку "под ключ", в том числе:</w:t>
            </w:r>
          </w:p>
          <w:p w:rsidR="00D855CF" w:rsidRDefault="00D855CF">
            <w:pPr>
              <w:pStyle w:val="ConsPlusNormal"/>
            </w:pPr>
            <w:r>
              <w:t>а) входную утепленную дверь с замком, ручками и дверным глазком, табличкой с номером квартиры;</w:t>
            </w:r>
          </w:p>
          <w:p w:rsidR="00D855CF" w:rsidRDefault="00D855CF">
            <w:pPr>
              <w:pStyle w:val="ConsPlusNormal"/>
            </w:pPr>
            <w:r>
              <w:t>б) межкомнатные двери с наличниками и ручками;</w:t>
            </w:r>
          </w:p>
          <w:p w:rsidR="00D855CF" w:rsidRDefault="00D855CF">
            <w:pPr>
              <w:pStyle w:val="ConsPlusNormal"/>
            </w:pPr>
            <w:r>
              <w:t>в) легкосбрасываемые оконные блоки со стеклопакетом класса энергоэффективности в соответствии с классом энергоэффективности дома (с возможностью открытия</w:t>
            </w:r>
          </w:p>
          <w:p w:rsidR="00D855CF" w:rsidRDefault="00D855CF">
            <w:pPr>
              <w:pStyle w:val="ConsPlusNormal"/>
            </w:pPr>
            <w:r>
              <w:t>створок (фрамуг, форточек) в двух позициях) и подоконниками;</w:t>
            </w:r>
          </w:p>
          <w:p w:rsidR="00D855CF" w:rsidRDefault="00D855CF">
            <w:pPr>
              <w:pStyle w:val="ConsPlusNormal"/>
            </w:pPr>
            <w:r>
              <w:t>г) вентиляционные решетки;</w:t>
            </w:r>
          </w:p>
          <w:p w:rsidR="00D855CF" w:rsidRDefault="00D855CF">
            <w:pPr>
              <w:pStyle w:val="ConsPlusNormal"/>
            </w:pPr>
            <w:r>
              <w:t>д) подвесные крюки для потолочных осветительных приборов во всех помещениях квартиры;</w:t>
            </w:r>
          </w:p>
          <w:p w:rsidR="00D855CF" w:rsidRDefault="00D855CF">
            <w:pPr>
              <w:pStyle w:val="ConsPlusNormal"/>
            </w:pPr>
            <w:r>
              <w:t>е)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выполнение из ламината класса износостойкости 22 и выше, или линолеума на вспененной или войлочной основе, или паркета, или деревянной доски для пола, покрытые соответствующим отделочным составом;</w:t>
            </w:r>
          </w:p>
          <w:p w:rsidR="00D855CF" w:rsidRDefault="00D855CF">
            <w:pPr>
              <w:pStyle w:val="ConsPlusNormal"/>
            </w:pPr>
            <w:r>
              <w:t>ж)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w:t>
            </w:r>
            <w:proofErr w:type="gramStart"/>
            <w:r>
              <w:t>й(</w:t>
            </w:r>
            <w:proofErr w:type="gramEnd"/>
            <w:r>
              <w:t>-их) к рабочей поверхности, и части стены (стен) в ванной комнате, примыкающей(-их) к ванне или душевому поддону и умывальнику, отделка которых производится керамической плиткой);</w:t>
            </w:r>
          </w:p>
          <w:p w:rsidR="00D855CF" w:rsidRDefault="00D855CF">
            <w:pPr>
              <w:pStyle w:val="ConsPlusNormal"/>
            </w:pPr>
            <w:r>
              <w:t>обоями в остальных помещениях;</w:t>
            </w:r>
          </w:p>
          <w:p w:rsidR="00D855CF" w:rsidRDefault="00D855CF">
            <w:pPr>
              <w:pStyle w:val="ConsPlusNormal"/>
            </w:pPr>
            <w:r>
              <w:t>з)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 установленные и подключенные к соответствующим внутриквартирным инженерным сетям:</w:t>
            </w:r>
          </w:p>
          <w:p w:rsidR="00D855CF" w:rsidRDefault="00D855CF">
            <w:pPr>
              <w:pStyle w:val="ConsPlusNormal"/>
            </w:pPr>
            <w:r>
              <w:t>а) звонковую сигнализацию (в соответствии с проектной документацией);</w:t>
            </w:r>
          </w:p>
          <w:p w:rsidR="00D855CF" w:rsidRDefault="00D855CF">
            <w:pPr>
              <w:pStyle w:val="ConsPlusNormal"/>
            </w:pPr>
            <w:r>
              <w:t>б) мойку со смесителем и сифоном;</w:t>
            </w:r>
          </w:p>
          <w:p w:rsidR="00D855CF" w:rsidRDefault="00D855CF">
            <w:pPr>
              <w:pStyle w:val="ConsPlusNormal"/>
            </w:pPr>
            <w:r>
              <w:t>в) умывальник со смесителем и сифоном;</w:t>
            </w:r>
          </w:p>
          <w:p w:rsidR="00D855CF" w:rsidRDefault="00D855CF">
            <w:pPr>
              <w:pStyle w:val="ConsPlusNormal"/>
            </w:pPr>
            <w:r>
              <w:t>г) унитаз с сиденьем и сливным бачком;</w:t>
            </w:r>
          </w:p>
          <w:p w:rsidR="00D855CF" w:rsidRDefault="00D855CF">
            <w:pPr>
              <w:pStyle w:val="ConsPlusNormal"/>
            </w:pPr>
            <w:r>
              <w:t xml:space="preserve">д) металлическую ванну с заземлением или душевой поддон со смесителем, оснащенным душевым шлангом </w:t>
            </w:r>
            <w:r>
              <w:lastRenderedPageBreak/>
              <w:t>и сифоном;</w:t>
            </w:r>
          </w:p>
          <w:p w:rsidR="00D855CF" w:rsidRDefault="00D855CF">
            <w:pPr>
              <w:pStyle w:val="ConsPlusNormal"/>
            </w:pPr>
            <w:r>
              <w:t>е) одноклавишные или двухклавишные электровыключатели;</w:t>
            </w:r>
          </w:p>
          <w:p w:rsidR="00D855CF" w:rsidRDefault="00D855CF">
            <w:pPr>
              <w:pStyle w:val="ConsPlusNormal"/>
            </w:pPr>
            <w:r>
              <w:t>ж) электророзетки;</w:t>
            </w:r>
          </w:p>
          <w:p w:rsidR="00D855CF" w:rsidRDefault="00D855CF">
            <w:pPr>
              <w:pStyle w:val="ConsPlusNormal"/>
            </w:pPr>
            <w:r>
              <w:t>з) выпуски электропроводки с потолочными, стеновыми патронами и стеновые светильники во всех помещениях квартиры (в соответствии с проектной документацией) с установленными лампами освещения;</w:t>
            </w:r>
          </w:p>
          <w:p w:rsidR="00D855CF" w:rsidRDefault="00D855CF">
            <w:pPr>
              <w:pStyle w:val="ConsPlusNormal"/>
            </w:pPr>
            <w:r>
              <w:t>и) газовую или электрическую плиту (в соответствии с проектной документацией);</w:t>
            </w:r>
          </w:p>
          <w:p w:rsidR="00D855CF" w:rsidRDefault="00D855CF">
            <w:pPr>
              <w:pStyle w:val="ConsPlusNormal"/>
            </w:pPr>
            <w:r>
              <w:t>к)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55CF" w:rsidRDefault="00D855CF">
            <w:pPr>
              <w:pStyle w:val="ConsPlusNormal"/>
            </w:pPr>
            <w:r>
              <w:t>л) системы пожарной сигнализации (в соответствии с проектной документацией);</w:t>
            </w:r>
          </w:p>
          <w:p w:rsidR="00D855CF" w:rsidRDefault="00D855CF">
            <w:pPr>
              <w:pStyle w:val="ConsPlusNormal"/>
            </w:pPr>
            <w:r>
              <w:t>м) устройства внутриквартирного пожаротушения</w:t>
            </w:r>
          </w:p>
        </w:tc>
      </w:tr>
      <w:tr w:rsidR="00D855CF">
        <w:tc>
          <w:tcPr>
            <w:tcW w:w="510" w:type="dxa"/>
          </w:tcPr>
          <w:p w:rsidR="00D855CF" w:rsidRDefault="00D855CF">
            <w:pPr>
              <w:pStyle w:val="ConsPlusNormal"/>
              <w:jc w:val="center"/>
            </w:pPr>
            <w:r>
              <w:lastRenderedPageBreak/>
              <w:t>4</w:t>
            </w:r>
          </w:p>
        </w:tc>
        <w:tc>
          <w:tcPr>
            <w:tcW w:w="3005" w:type="dxa"/>
          </w:tcPr>
          <w:p w:rsidR="00D855CF" w:rsidRDefault="00D855CF">
            <w:pPr>
              <w:pStyle w:val="ConsPlusNormal"/>
            </w:pPr>
            <w:r>
              <w:t>Требования к материалам, изделиям и оборудованию</w:t>
            </w:r>
          </w:p>
        </w:tc>
        <w:tc>
          <w:tcPr>
            <w:tcW w:w="5556" w:type="dxa"/>
          </w:tcPr>
          <w:p w:rsidR="00D855CF" w:rsidRDefault="00D855CF">
            <w:pPr>
              <w:pStyle w:val="ConsPlusNormal"/>
            </w:pPr>
            <w: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rsidR="00D855CF" w:rsidRDefault="00D855CF">
            <w:pPr>
              <w:pStyle w:val="ConsPlusNormal"/>
            </w:pPr>
            <w: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D855CF" w:rsidRDefault="00D855CF">
            <w:pPr>
              <w:pStyle w:val="ConsPlusNormal"/>
            </w:pPr>
            <w:proofErr w:type="gramStart"/>
            <w: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r>
      <w:tr w:rsidR="00D855CF">
        <w:tc>
          <w:tcPr>
            <w:tcW w:w="510" w:type="dxa"/>
          </w:tcPr>
          <w:p w:rsidR="00D855CF" w:rsidRDefault="00D855CF">
            <w:pPr>
              <w:pStyle w:val="ConsPlusNormal"/>
              <w:jc w:val="center"/>
            </w:pPr>
            <w:r>
              <w:t>5</w:t>
            </w:r>
          </w:p>
        </w:tc>
        <w:tc>
          <w:tcPr>
            <w:tcW w:w="3005" w:type="dxa"/>
          </w:tcPr>
          <w:p w:rsidR="00D855CF" w:rsidRDefault="00D855CF">
            <w:pPr>
              <w:pStyle w:val="ConsPlusNormal"/>
            </w:pPr>
            <w:r>
              <w:t>Требования к энергоэффективности дома</w:t>
            </w:r>
          </w:p>
        </w:tc>
        <w:tc>
          <w:tcPr>
            <w:tcW w:w="5556" w:type="dxa"/>
          </w:tcPr>
          <w:p w:rsidR="00D855CF" w:rsidRDefault="00D855CF">
            <w:pPr>
              <w:pStyle w:val="ConsPlusNormal"/>
            </w:pPr>
            <w:r>
              <w:t xml:space="preserve">Предусматривать класс энергетической эффективности дома не ниже "В" согласно </w:t>
            </w:r>
            <w:hyperlink r:id="rId21" w:history="1">
              <w:r>
                <w:rPr>
                  <w:color w:val="0000FF"/>
                </w:rPr>
                <w:t>Правилам</w:t>
              </w:r>
            </w:hyperlink>
            <w:r>
              <w:t xml:space="preserve"> определения класса энергетической эффективности, утвержденным приказом Министерства строительства и жилищно-коммунального хозяйства Российской Федерации от 6 июня 2016 года N 399/пр.</w:t>
            </w:r>
          </w:p>
          <w:p w:rsidR="00D855CF" w:rsidRDefault="00D855CF">
            <w:pPr>
              <w:pStyle w:val="ConsPlusNormal"/>
            </w:pPr>
            <w:r>
              <w:t>Рекомендуется предусматривать следующие мероприятия, направленные на повышение энергоэффективности дома:</w:t>
            </w:r>
          </w:p>
          <w:p w:rsidR="00D855CF" w:rsidRDefault="00D855CF">
            <w:pPr>
              <w:pStyle w:val="ConsPlusNormal"/>
            </w:pPr>
            <w:r>
              <w:t>предъявлять к оконным блокам в квартирах и в помещениях общего пользования дополнительные требования, указанные выше;</w:t>
            </w:r>
          </w:p>
          <w:p w:rsidR="00D855CF" w:rsidRDefault="00D855CF">
            <w:pPr>
              <w:pStyle w:val="ConsPlusNormal"/>
            </w:pPr>
            <w:r>
              <w:t xml:space="preserve">производить установку в помещениях общего пользования, на лестничных клетках, перед входом в </w:t>
            </w:r>
            <w:r>
              <w:lastRenderedPageBreak/>
              <w:t>подъезды светодиодных светильников с датчиками движения и освещенности;</w:t>
            </w:r>
          </w:p>
          <w:p w:rsidR="00D855CF" w:rsidRDefault="00D855CF">
            <w:pPr>
              <w:pStyle w:val="ConsPlusNormal"/>
            </w:pPr>
            <w:r>
              <w:t>проводить освещение придомовой территории с использованием светодиодных светильников и датчиков освещенности;</w:t>
            </w:r>
          </w:p>
          <w:p w:rsidR="00D855CF" w:rsidRDefault="00D855CF">
            <w:pPr>
              <w:pStyle w:val="ConsPlusNormal"/>
            </w:pPr>
            <w:r>
              <w:t>выполнять теплоизоляцию подвального (цокольного) и чердачного перекрытий (в соответствии с проектной документацией);</w:t>
            </w:r>
          </w:p>
          <w:p w:rsidR="00D855CF" w:rsidRDefault="00D855CF">
            <w:pPr>
              <w:pStyle w:val="ConsPlusNormal"/>
            </w:pPr>
            <w:r>
              <w:t>проводить установку приборов учета горячего и холодного водоснабжения, электроэнергии, газа и других, предусмотренных в проектной документации;</w:t>
            </w:r>
          </w:p>
          <w:p w:rsidR="00D855CF" w:rsidRDefault="00D855CF">
            <w:pPr>
              <w:pStyle w:val="ConsPlusNormal"/>
            </w:pPr>
            <w:r>
              <w:t>выполнять установку радиаторов отопления с терморегуляторами (при технологической возможности в соответствии с проектной документацией);</w:t>
            </w:r>
          </w:p>
          <w:p w:rsidR="00D855CF" w:rsidRDefault="00D855CF">
            <w:pPr>
              <w:pStyle w:val="ConsPlusNormal"/>
            </w:pPr>
            <w:r>
              <w:t>проводить устройство входных дверей в подъезды дома с утеплением и оборудованием автодоводчиками;</w:t>
            </w:r>
          </w:p>
          <w:p w:rsidR="00D855CF" w:rsidRDefault="00D855CF">
            <w:pPr>
              <w:pStyle w:val="ConsPlusNormal"/>
            </w:pPr>
            <w:r>
              <w:t>устраивать входные тамбуры в подъезды дома с утеплением стен, устанавливать утепленные двери тамбура (входную и проходную) с автодоводчиками.</w:t>
            </w:r>
          </w:p>
          <w:p w:rsidR="00D855CF" w:rsidRDefault="00D855CF">
            <w:pPr>
              <w:pStyle w:val="ConsPlusNormal"/>
            </w:pPr>
            <w:r>
              <w:t xml:space="preserve">Обеспечить наличие на фасаде дома указателя класса энергетической эффективности дома в соответствии с </w:t>
            </w:r>
            <w:hyperlink r:id="rId22" w:history="1">
              <w:r>
                <w:rPr>
                  <w:color w:val="0000FF"/>
                </w:rPr>
                <w:t>разделом III</w:t>
              </w:r>
            </w:hyperlink>
            <w: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w:t>
            </w:r>
            <w:proofErr w:type="gramStart"/>
            <w:r>
              <w:t>пр</w:t>
            </w:r>
            <w:proofErr w:type="gramEnd"/>
          </w:p>
        </w:tc>
      </w:tr>
      <w:tr w:rsidR="00D855CF">
        <w:tc>
          <w:tcPr>
            <w:tcW w:w="510" w:type="dxa"/>
          </w:tcPr>
          <w:p w:rsidR="00D855CF" w:rsidRDefault="00D855CF">
            <w:pPr>
              <w:pStyle w:val="ConsPlusNormal"/>
              <w:jc w:val="center"/>
            </w:pPr>
            <w:r>
              <w:lastRenderedPageBreak/>
              <w:t>6</w:t>
            </w:r>
          </w:p>
        </w:tc>
        <w:tc>
          <w:tcPr>
            <w:tcW w:w="3005" w:type="dxa"/>
          </w:tcPr>
          <w:p w:rsidR="00D855CF" w:rsidRDefault="00D855CF">
            <w:pPr>
              <w:pStyle w:val="ConsPlusNormal"/>
            </w:pPr>
            <w:r>
              <w:t>Требования к эксплуатационной документации дома</w:t>
            </w:r>
          </w:p>
        </w:tc>
        <w:tc>
          <w:tcPr>
            <w:tcW w:w="5556" w:type="dxa"/>
          </w:tcPr>
          <w:p w:rsidR="00D855CF" w:rsidRDefault="00D855CF">
            <w:pPr>
              <w:pStyle w:val="ConsPlusNormal"/>
            </w:pPr>
            <w:proofErr w:type="gramStart"/>
            <w:r>
              <w:t xml:space="preserve">Наличие паспортов и инструкций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w:t>
            </w:r>
            <w:hyperlink r:id="rId23" w:history="1">
              <w:r>
                <w:rPr>
                  <w:color w:val="0000FF"/>
                </w:rPr>
                <w:t>пунктами 24</w:t>
              </w:r>
            </w:hyperlink>
            <w:r>
              <w:t xml:space="preserve"> и </w:t>
            </w:r>
            <w:hyperlink r:id="rId24" w:history="1">
              <w:r>
                <w:rPr>
                  <w:color w:val="0000FF"/>
                </w:rPr>
                <w:t>26</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w:t>
            </w:r>
            <w:proofErr w:type="gramEnd"/>
            <w:r>
              <w:t xml:space="preserve"> 2006 года N 491, включая Инструкцию по эксплуатации многоквартирного дома, выполненную в соответствии с требованиями Градостроительного </w:t>
            </w:r>
            <w:hyperlink r:id="rId25" w:history="1">
              <w:r>
                <w:rPr>
                  <w:color w:val="0000FF"/>
                </w:rPr>
                <w:t>кодекса</w:t>
              </w:r>
            </w:hyperlink>
            <w:r>
              <w:t xml:space="preserve"> Российской Федерации (Требования к безопасной эксплуатации зданий) и </w:t>
            </w:r>
            <w:hyperlink r:id="rId26" w:history="1">
              <w:r>
                <w:rPr>
                  <w:color w:val="0000FF"/>
                </w:rPr>
                <w:t>СП 255.1325800.2016</w:t>
              </w:r>
            </w:hyperlink>
            <w:r>
              <w:t xml:space="preserve"> "Здания и сооружения. Правила эксплуатации. Основные положения" (в соответствии с проектной документацией).</w:t>
            </w:r>
          </w:p>
          <w:p w:rsidR="00D855CF" w:rsidRDefault="00D855CF">
            <w:pPr>
              <w:pStyle w:val="ConsPlusNormal"/>
            </w:pPr>
            <w:r>
              <w:t>Наличие инструкций по эксплуатации внутриквартирного инженерного оборудования.</w:t>
            </w:r>
          </w:p>
          <w:p w:rsidR="00D855CF" w:rsidRDefault="00D855CF">
            <w:pPr>
              <w:pStyle w:val="ConsPlusNormal"/>
            </w:pPr>
            <w:r>
              <w:t>Комплекты инструкций по эксплуатации внутриквартирного инженерного оборудования подлежат передаче заказчику</w:t>
            </w:r>
          </w:p>
        </w:tc>
      </w:tr>
    </w:tbl>
    <w:p w:rsidR="00D855CF" w:rsidRDefault="00D855CF">
      <w:pPr>
        <w:pStyle w:val="ConsPlusNormal"/>
        <w:spacing w:before="220"/>
        <w:jc w:val="right"/>
      </w:pPr>
      <w:r>
        <w:t>".</w:t>
      </w:r>
    </w:p>
    <w:p w:rsidR="00D855CF" w:rsidRDefault="00D855CF">
      <w:pPr>
        <w:pStyle w:val="ConsPlusNormal"/>
        <w:jc w:val="both"/>
      </w:pPr>
    </w:p>
    <w:p w:rsidR="00D855CF" w:rsidRDefault="00D855CF">
      <w:pPr>
        <w:pStyle w:val="ConsPlusNormal"/>
        <w:jc w:val="both"/>
      </w:pPr>
    </w:p>
    <w:p w:rsidR="00D855CF" w:rsidRDefault="00D855CF">
      <w:pPr>
        <w:pStyle w:val="ConsPlusNormal"/>
        <w:pBdr>
          <w:top w:val="single" w:sz="6" w:space="0" w:color="auto"/>
        </w:pBdr>
        <w:spacing w:before="100" w:after="100"/>
        <w:jc w:val="both"/>
        <w:rPr>
          <w:sz w:val="2"/>
          <w:szCs w:val="2"/>
        </w:rPr>
      </w:pPr>
    </w:p>
    <w:p w:rsidR="00F81A1A" w:rsidRDefault="00F81A1A">
      <w:bookmarkStart w:id="1" w:name="_GoBack"/>
      <w:bookmarkEnd w:id="1"/>
    </w:p>
    <w:sectPr w:rsidR="00F81A1A" w:rsidSect="00881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CF"/>
    <w:rsid w:val="00D855CF"/>
    <w:rsid w:val="00F8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5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55C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5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55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BBFEABEC77E6E4CBB31AA0D16F9A16CD1940EF7A816A4FE766F6BD1BDFF4FABED8FD3EC13968F551E254976e5j5I" TargetMode="External"/><Relationship Id="rId13" Type="http://schemas.openxmlformats.org/officeDocument/2006/relationships/hyperlink" Target="consultantplus://offline/ref=2DABBFEABEC77E6E4CBB30A41D16F9A16DD8930BFFA24BAEF62F6369D6B2A04ABEFCD7DFEC0C888E4A02274Be7j6I" TargetMode="External"/><Relationship Id="rId18" Type="http://schemas.openxmlformats.org/officeDocument/2006/relationships/hyperlink" Target="consultantplus://offline/ref=2DABBFEABEC77E6E4CBB30A41D16F9A16DDD950AF3A24BAEF62F6369D6B2A04ABEFCD7DFEC0C888E4A02274Be7j6I" TargetMode="External"/><Relationship Id="rId26" Type="http://schemas.openxmlformats.org/officeDocument/2006/relationships/hyperlink" Target="consultantplus://offline/ref=2DABBFEABEC77E6E4CBB30A41D16F9A16DDD950AF3A24BAEF62F6369D6B2A04ABEFCD7DFEC0C888E4A02274Be7j6I" TargetMode="External"/><Relationship Id="rId3" Type="http://schemas.openxmlformats.org/officeDocument/2006/relationships/settings" Target="settings.xml"/><Relationship Id="rId21" Type="http://schemas.openxmlformats.org/officeDocument/2006/relationships/hyperlink" Target="consultantplus://offline/ref=2DABBFEABEC77E6E4CBB2FB11816F9A16DD89708FEA016A4FE766F6BD1BDFF4FB9EDD7DFED12888E560B73183002F617114B6F4584830425eFj2I" TargetMode="External"/><Relationship Id="rId7" Type="http://schemas.openxmlformats.org/officeDocument/2006/relationships/hyperlink" Target="consultantplus://offline/ref=2DABBFEABEC77E6E4CBB31BC0E7AA7A96CD3CA05F7AA1CF7A223693C8EEDF91AF9ADD18AAE56858E5408204E745CAF47540062459B9F0426EE443049e3j4I" TargetMode="External"/><Relationship Id="rId12" Type="http://schemas.openxmlformats.org/officeDocument/2006/relationships/hyperlink" Target="consultantplus://offline/ref=2DABBFEABEC77E6E4CBB30A41D16F9A16DDD940BF5A24BAEF62F6369D6B2A04ABEFCD7DFEC0C888E4A02274Be7j6I" TargetMode="External"/><Relationship Id="rId17" Type="http://schemas.openxmlformats.org/officeDocument/2006/relationships/hyperlink" Target="consultantplus://offline/ref=2DABBFEABEC77E6E4CBB31AA0D16F9A16CDD950CFFAD16A4FE766F6BD1BDFF4FB9EDD7DFED12888F570B73183002F617114B6F4584830425eFj2I" TargetMode="External"/><Relationship Id="rId25" Type="http://schemas.openxmlformats.org/officeDocument/2006/relationships/hyperlink" Target="consultantplus://offline/ref=2DABBFEABEC77E6E4CBB31AA0D16F9A16CD19408F2AE16A4FE766F6BD1BDFF4FABED8FD3EC13968F551E254976e5j5I" TargetMode="External"/><Relationship Id="rId2" Type="http://schemas.microsoft.com/office/2007/relationships/stylesWithEffects" Target="stylesWithEffects.xml"/><Relationship Id="rId16" Type="http://schemas.openxmlformats.org/officeDocument/2006/relationships/hyperlink" Target="consultantplus://offline/ref=2DABBFEABEC77E6E4CBB31AA0D16F9A16CDE950AFFA116A4FE766F6BD1BDFF4FB9EDD7DFED12888E560B73183002F617114B6F4584830425eFj2I" TargetMode="External"/><Relationship Id="rId20" Type="http://schemas.openxmlformats.org/officeDocument/2006/relationships/hyperlink" Target="consultantplus://offline/ref=2DABBFEABEC77E6E4CBB31AA0D16F9A16CD09D01F5AF16A4FE766F6BD1BDFF4FB9EDD7DFED12888B550B73183002F617114B6F4584830425eFj2I" TargetMode="External"/><Relationship Id="rId1" Type="http://schemas.openxmlformats.org/officeDocument/2006/relationships/styles" Target="styles.xml"/><Relationship Id="rId6" Type="http://schemas.openxmlformats.org/officeDocument/2006/relationships/hyperlink" Target="consultantplus://offline/ref=2DABBFEABEC77E6E4CBB31BC0E7AA7A96CD3CA05F7AA1CF7A223693C8EEDF91AF9ADD18AAE56858E540027497C5CAF47540062459B9F0426EE443049e3j4I" TargetMode="External"/><Relationship Id="rId11" Type="http://schemas.openxmlformats.org/officeDocument/2006/relationships/hyperlink" Target="consultantplus://offline/ref=2DABBFEABEC77E6E4CBB30A41D16F9A16DDC9D0BFEA24BAEF62F6369D6B2A04ABEFCD7DFEC0C888E4A02274Be7j6I" TargetMode="External"/><Relationship Id="rId24" Type="http://schemas.openxmlformats.org/officeDocument/2006/relationships/hyperlink" Target="consultantplus://offline/ref=2DABBFEABEC77E6E4CBB31AA0D16F9A16CDD9209F4A016A4FE766F6BD1BDFF4FB9EDD7DFED128886540B73183002F617114B6F4584830425eFj2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DABBFEABEC77E6E4CBB30A41D16F9A16DDD950AF1A24BAEF62F6369D6B2A04ABEFCD7DFEC0C888E4A02274Be7j6I" TargetMode="External"/><Relationship Id="rId23" Type="http://schemas.openxmlformats.org/officeDocument/2006/relationships/hyperlink" Target="consultantplus://offline/ref=2DABBFEABEC77E6E4CBB31AA0D16F9A16CDD9209F4A016A4FE766F6BD1BDFF4FB9EDD7DFED128887550B73183002F617114B6F4584830425eFj2I" TargetMode="External"/><Relationship Id="rId28" Type="http://schemas.openxmlformats.org/officeDocument/2006/relationships/theme" Target="theme/theme1.xml"/><Relationship Id="rId10" Type="http://schemas.openxmlformats.org/officeDocument/2006/relationships/hyperlink" Target="consultantplus://offline/ref=2DABBFEABEC77E6E4CBB31AA0D16F9A16EDC9C0FF7A016A4FE766F6BD1BDFF4FABED8FD3EC13968F551E254976e5j5I" TargetMode="External"/><Relationship Id="rId19" Type="http://schemas.openxmlformats.org/officeDocument/2006/relationships/hyperlink" Target="consultantplus://offline/ref=2DABBFEABEC77E6E4CBB30A41D16F9A16DDD9D0BF5A24BAEF62F6369D6B2A04ABEFCD7DFEC0C888E4A02274Be7j6I" TargetMode="External"/><Relationship Id="rId4" Type="http://schemas.openxmlformats.org/officeDocument/2006/relationships/webSettings" Target="webSettings.xml"/><Relationship Id="rId9" Type="http://schemas.openxmlformats.org/officeDocument/2006/relationships/hyperlink" Target="consultantplus://offline/ref=2DABBFEABEC77E6E4CBB31AA0D16F9A16CD0970CFEAB16A4FE766F6BD1BDFF4FABED8FD3EC13968F551E254976e5j5I" TargetMode="External"/><Relationship Id="rId14" Type="http://schemas.openxmlformats.org/officeDocument/2006/relationships/hyperlink" Target="consultantplus://offline/ref=2DABBFEABEC77E6E4CBB30A41D16F9A16DDA9109F1A24BAEF62F6369D6B2A04ABEFCD7DFEC0C888E4A02274Be7j6I" TargetMode="External"/><Relationship Id="rId22" Type="http://schemas.openxmlformats.org/officeDocument/2006/relationships/hyperlink" Target="consultantplus://offline/ref=2DABBFEABEC77E6E4CBB2FB11816F9A16DD89708FEA016A4FE766F6BD1BDFF4FB9EDD7DFED128988560B73183002F617114B6F4584830425eFj2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2022-01-11T08:35:00Z</dcterms:created>
  <dcterms:modified xsi:type="dcterms:W3CDTF">2022-01-11T08:35:00Z</dcterms:modified>
</cp:coreProperties>
</file>