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1. </w:t>
      </w:r>
      <w:hyperlink r:id="rId7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165F46" w:rsidRDefault="005D0503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F9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полугодие </w:t>
      </w:r>
    </w:p>
    <w:p w:rsidR="00485B18" w:rsidRPr="00485B18" w:rsidRDefault="00485B18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25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5529"/>
        <w:gridCol w:w="9781"/>
      </w:tblGrid>
      <w:tr w:rsidR="00485B18" w:rsidRPr="00A61F39" w:rsidTr="006D7C87">
        <w:tc>
          <w:tcPr>
            <w:tcW w:w="5529" w:type="dxa"/>
            <w:shd w:val="clear" w:color="auto" w:fill="auto"/>
          </w:tcPr>
          <w:p w:rsidR="00485B18" w:rsidRPr="00A61F39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9781" w:type="dxa"/>
            <w:shd w:val="clear" w:color="auto" w:fill="auto"/>
          </w:tcPr>
          <w:p w:rsidR="00485B18" w:rsidRPr="00A61F39" w:rsidRDefault="00485B18" w:rsidP="00240E9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6D7C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 w:rsidR="006D7C87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 w:rsidR="006D7C8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A61F39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503"/>
        <w:gridCol w:w="425"/>
        <w:gridCol w:w="2694"/>
        <w:gridCol w:w="992"/>
        <w:gridCol w:w="1559"/>
        <w:gridCol w:w="1418"/>
        <w:gridCol w:w="1559"/>
        <w:gridCol w:w="1417"/>
        <w:gridCol w:w="1134"/>
        <w:gridCol w:w="1276"/>
        <w:gridCol w:w="1843"/>
      </w:tblGrid>
      <w:tr w:rsidR="00485B18" w:rsidRPr="00A61F39" w:rsidTr="00A61F39">
        <w:trPr>
          <w:trHeight w:val="20"/>
          <w:tblHeader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классифика-ции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плана на отчетный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к уровню прошлого года, %</w:t>
            </w: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485B18" w:rsidRPr="00A61F39" w:rsidTr="00A61F39">
        <w:trPr>
          <w:trHeight w:val="509"/>
          <w:tblHeader/>
        </w:trPr>
        <w:tc>
          <w:tcPr>
            <w:tcW w:w="993" w:type="dxa"/>
            <w:gridSpan w:val="2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отчетный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B18" w:rsidRPr="00485B18" w:rsidTr="00A61F39">
        <w:trPr>
          <w:trHeight w:val="70"/>
          <w:tblHeader/>
        </w:trPr>
        <w:tc>
          <w:tcPr>
            <w:tcW w:w="490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3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490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9"/>
            <w:vAlign w:val="center"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240E93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  <w:tr w:rsidR="00A3607C" w:rsidRPr="00485B18" w:rsidTr="00A3607C">
        <w:trPr>
          <w:trHeight w:val="839"/>
        </w:trPr>
        <w:tc>
          <w:tcPr>
            <w:tcW w:w="490" w:type="dxa"/>
            <w:vMerge w:val="restart"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vMerge w:val="restart"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впервые зарегистрированных наркопотребителей на 100 тыс. человек населения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чел./</w:t>
            </w: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тыс. населения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793"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  <w:r w:rsidR="00814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349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</w:tcPr>
          <w:p w:rsidR="00A3607C" w:rsidRPr="00A3607C" w:rsidRDefault="00CD08B7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-0,001</w:t>
            </w:r>
          </w:p>
        </w:tc>
        <w:tc>
          <w:tcPr>
            <w:tcW w:w="1134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пациентов, включенных в реабилитационные программы, по отношению к общему числу наркопотребителей, обратившихся за наркологической помощью (ведомственная отчетность БУЗ УР «Киясовская РБ МЗ УР»)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D08B7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D08B7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559" w:type="dxa"/>
            <w:noWrap/>
          </w:tcPr>
          <w:p w:rsidR="00A3607C" w:rsidRPr="00A3607C" w:rsidRDefault="00CD08B7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843" w:type="dxa"/>
            <w:noWrap/>
            <w:hideMark/>
          </w:tcPr>
          <w:p w:rsidR="00CD08B7" w:rsidRDefault="00BC527E" w:rsidP="00CD08B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607C" w:rsidRPr="00485B18" w:rsidTr="00A3607C">
        <w:trPr>
          <w:trHeight w:val="1698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больных наркоманией, прошедших лечение и реабилитацию, длительность ремиссии у которых составляет не менее 2 лет (ведомственная отчетность БУЗ УР «Киясовская РБ МЗ УР»)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D08B7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D08B7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</w:tcPr>
          <w:p w:rsidR="00A3607C" w:rsidRPr="00A3607C" w:rsidRDefault="00FB1F19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3607C" w:rsidRPr="00A3607C" w:rsidRDefault="00A3607C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FB1F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A3607C" w:rsidRPr="00485B18" w:rsidRDefault="00FB1F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A3607C" w:rsidRPr="00485B18" w:rsidRDefault="00FB1F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B34903" w:rsidP="00935E5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выявленных преступлений, связанных с незаконным оборотом наркотических средств (ведомственная отчетность отделения МВД России по Киясовскому району)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A3607C" w:rsidRPr="00A3607C" w:rsidRDefault="00BC527E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BC527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1 полугодии 2023 года  сотрудниками ФСБ России по УР в</w:t>
            </w:r>
            <w:r w:rsidR="00935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ыявлено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</w:t>
            </w:r>
            <w:r w:rsidR="00935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="00935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из которых связаны со сбытом. Все уголовные дела находятся в стадии расследования.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публичных мероприятий, направленных на профилактику наркомании среди населения района (ведомственная отчетность Управления по культуре, делам молодежи, спорту и туризму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8144D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36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</w:tcPr>
          <w:p w:rsidR="00CF1E50" w:rsidRPr="00A3607C" w:rsidRDefault="0062419D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417" w:type="dxa"/>
            <w:noWrap/>
          </w:tcPr>
          <w:p w:rsidR="00A3607C" w:rsidRPr="00485B18" w:rsidRDefault="00407C36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+83</w:t>
            </w:r>
          </w:p>
        </w:tc>
        <w:tc>
          <w:tcPr>
            <w:tcW w:w="1134" w:type="dxa"/>
            <w:noWrap/>
          </w:tcPr>
          <w:p w:rsidR="00A3607C" w:rsidRPr="00485B18" w:rsidRDefault="00407C36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141,5%</w:t>
            </w:r>
          </w:p>
        </w:tc>
        <w:tc>
          <w:tcPr>
            <w:tcW w:w="1276" w:type="dxa"/>
            <w:noWrap/>
          </w:tcPr>
          <w:p w:rsidR="00A3607C" w:rsidRPr="00485B18" w:rsidRDefault="00407C36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+41,5%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8B52FA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проведены в рамках антинаркотического месячника, из них информационно-просветительских интерактивных лекций,обучающих семнаров,профилактических бесед-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,направленных на популяризацию ЗОЖ, вовлечение в добровольческую деятельность  развитие гражданской активности(культурных,спортивно-массовых,творческих конкурсов)-2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инициированных другими ведомствами, общественными организациями и реализованных совместно с ОВД-10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4" w:type="dxa"/>
          </w:tcPr>
          <w:p w:rsidR="00A3607C" w:rsidRPr="00B463C9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и молодёжи, охваченных профилактическими мероприятиями, по отношению к общей численности указанной категории (ведомственная отчетность Отдела по делам молодежи Управления по культуре, делам молодёжи, спорту и туризму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43EC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B34903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noWrap/>
          </w:tcPr>
          <w:p w:rsidR="00A3607C" w:rsidRPr="00A3607C" w:rsidRDefault="0062419D" w:rsidP="00D77D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17" w:type="dxa"/>
            <w:noWrap/>
          </w:tcPr>
          <w:p w:rsidR="00A3607C" w:rsidRPr="00485B18" w:rsidRDefault="00CA051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="00624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A3607C" w:rsidRPr="00485B18" w:rsidRDefault="0062419D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  <w:r w:rsidR="00CA0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3607C" w:rsidRPr="00485B18" w:rsidRDefault="00CA051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="00624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noWrap/>
            <w:hideMark/>
          </w:tcPr>
          <w:p w:rsidR="00CA051C" w:rsidRPr="00CA051C" w:rsidRDefault="00CA051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A051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 1 апреля 2023 численность населения (постоянных жителей) Киясовского района Удмуртской Республики составляет </w:t>
            </w:r>
            <w:r w:rsidRPr="00CA051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8 839 человек</w:t>
            </w:r>
            <w:r w:rsidRPr="00CA051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, в том числе   подростков (школьников) в возрасте от 7 до 17 лет - 1 045 человек, молодежи от 18 до 29 лет - 1 058 человек, что составляет 2103 человека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. Охвачено профмероприятиями в 1 полугодии 2023 года </w:t>
            </w:r>
            <w:r w:rsidR="0062419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1971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человек</w:t>
            </w:r>
          </w:p>
          <w:p w:rsidR="00A3607C" w:rsidRPr="00CA051C" w:rsidRDefault="00CA051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4" w:type="dxa"/>
          </w:tcPr>
          <w:p w:rsidR="00A3607C" w:rsidRPr="00B463C9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 заинтересованных ведомств, обученных по вопросам профилактики наркомании (ведомственная отчетность Управления образования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43EC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B34903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A3607C" w:rsidRPr="00A3607C" w:rsidRDefault="000845E4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7" w:type="dxa"/>
            <w:noWrap/>
          </w:tcPr>
          <w:p w:rsidR="00A3607C" w:rsidRPr="00485B18" w:rsidRDefault="002E170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+56</w:t>
            </w:r>
          </w:p>
        </w:tc>
        <w:tc>
          <w:tcPr>
            <w:tcW w:w="1134" w:type="dxa"/>
            <w:noWrap/>
          </w:tcPr>
          <w:p w:rsidR="00A3607C" w:rsidRPr="00485B18" w:rsidRDefault="002E170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A3607C" w:rsidRPr="00485B18" w:rsidRDefault="002E170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1220%</w:t>
            </w:r>
          </w:p>
        </w:tc>
        <w:tc>
          <w:tcPr>
            <w:tcW w:w="1843" w:type="dxa"/>
            <w:noWrap/>
            <w:hideMark/>
          </w:tcPr>
          <w:p w:rsidR="00A3607C" w:rsidRPr="000845E4" w:rsidRDefault="000845E4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классный руководитель, прошел курсы повышения клас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ификации</w:t>
            </w:r>
            <w:r w:rsidRPr="00084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г.Казани Блинова</w:t>
            </w:r>
            <w:r w:rsidR="0072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 изучены вопросы профилактики наркомании, особенности поколени</w:t>
            </w:r>
            <w:r w:rsidR="0072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</w:t>
            </w:r>
          </w:p>
        </w:tc>
      </w:tr>
    </w:tbl>
    <w:p w:rsidR="00240E93" w:rsidRDefault="00485B18" w:rsidP="00A360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textWrapping" w:clear="all"/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2. </w:t>
      </w:r>
      <w:hyperlink r:id="rId9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170F" w:rsidRDefault="005D0503" w:rsidP="002E1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170F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2E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полугодие </w:t>
      </w:r>
    </w:p>
    <w:p w:rsidR="002E170F" w:rsidRPr="00485B18" w:rsidRDefault="002E170F" w:rsidP="002E1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85B18" w:rsidRPr="00485B18" w:rsidRDefault="00485B18" w:rsidP="002E1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3686"/>
        <w:gridCol w:w="11623"/>
      </w:tblGrid>
      <w:tr w:rsidR="00485B18" w:rsidRPr="00485B18" w:rsidTr="00240E93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623" w:type="dxa"/>
            <w:shd w:val="clear" w:color="auto" w:fill="auto"/>
          </w:tcPr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41"/>
        <w:gridCol w:w="2446"/>
        <w:gridCol w:w="1761"/>
        <w:gridCol w:w="1459"/>
        <w:gridCol w:w="1206"/>
        <w:gridCol w:w="2143"/>
        <w:gridCol w:w="3354"/>
        <w:gridCol w:w="1842"/>
      </w:tblGrid>
      <w:tr w:rsidR="00485B18" w:rsidRPr="00485B18" w:rsidTr="00486F50">
        <w:trPr>
          <w:trHeight w:val="20"/>
        </w:trPr>
        <w:tc>
          <w:tcPr>
            <w:tcW w:w="1807" w:type="dxa"/>
            <w:gridSpan w:val="4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4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программы,                                                основного мероприятия, мероприятия</w:t>
            </w:r>
          </w:p>
        </w:tc>
        <w:tc>
          <w:tcPr>
            <w:tcW w:w="1761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143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54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41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4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 xml:space="preserve">Координация деятельности субъектов системы профилактики наркомании наркомании, развитие и укрепление системы  межведомственного взаимодействия 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Январь - февраль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наркоситуации в районе с целью принятия необходимых мер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 мониторинг, ситуация стабильная, на оперативном учете в отделении ОВД по Киясовскому району состоит 2</w:t>
            </w:r>
            <w:r w:rsidR="00BB6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лиц, на учетах в ЦРБ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наркозависимых.  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деятельности районной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Антинаркотической комиссии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Координация деятельности субъектов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системы профилактики, ведущих антинаркотическую деятельность 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A3607C">
            <w:pPr>
              <w:spacing w:after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Координация осуществляется, в</w:t>
            </w:r>
            <w:r w:rsidR="009B4C0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полугодии 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="008E38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B4C0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проведено </w:t>
            </w:r>
            <w:r w:rsidR="009B4C0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485B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заседания  </w:t>
            </w:r>
            <w:r w:rsidRPr="00485B1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комиссии</w:t>
            </w:r>
            <w:r w:rsidR="009B4C07">
              <w:rPr>
                <w:rFonts w:ascii="Times New Roman" w:eastAsia="Calibri" w:hAnsi="Times New Roman" w:cs="Times New Roman"/>
                <w:sz w:val="18"/>
                <w:szCs w:val="18"/>
              </w:rPr>
              <w:t>, рассмотрено 12 вопросов, принято 6 решений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вопросам противодействия злоупотребелению наркотическими средствами и психотропными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нтинаркотическая комиссия, 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специалистов, занимающихся профилактикой наркомании с целью организации ими эффективной работы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9B4C07" w:rsidP="00724A5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заседании комиссии 30.06.2023 года рассмотрен вопрос «</w:t>
            </w:r>
            <w:r w:rsidR="0008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повышении эффективности мероприятий, направленных на обеспечение здорового образа жизни , создания условий </w:t>
            </w:r>
            <w:r w:rsidR="0008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вовлечению молодежи в антинаркотическую деятельность», Молодежным центром «Ровесник» представлен видеоролик</w:t>
            </w:r>
            <w:r w:rsidR="00724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антинаркотической направленности</w:t>
            </w:r>
            <w:r w:rsidR="00084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который создан при </w:t>
            </w:r>
            <w:r w:rsidR="000845E4" w:rsidRPr="00724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0845E4" w:rsidRPr="00724A5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овместной работе  с районной  газетой  «Знамя труда»</w:t>
            </w:r>
            <w:r w:rsidR="003761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который </w:t>
            </w:r>
            <w:r w:rsidR="000845E4" w:rsidRPr="00724A5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снят волонтёрами МЦ «Ровесник», где они сами стали героями данного ролика и отразили проблемы, возникающие у лиц, употребляющих наркотики. </w:t>
            </w:r>
            <w:hyperlink r:id="rId11" w:history="1">
              <w:r w:rsidR="000845E4" w:rsidRPr="00724A55">
                <w:rPr>
                  <w:rStyle w:val="a8"/>
                  <w:sz w:val="18"/>
                  <w:szCs w:val="18"/>
                  <w:shd w:val="clear" w:color="auto" w:fill="FFFFFF"/>
                </w:rPr>
                <w:t xml:space="preserve">https://vk.com/molodyozh_ksv?w=wall-63945522_7769. </w:t>
              </w:r>
            </w:hyperlink>
            <w:r w:rsidR="000845E4" w:rsidRPr="00724A5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За три дня видеоролик набрал уже 6275 просмотров.</w:t>
            </w:r>
            <w:r w:rsidR="000845E4" w:rsidRPr="00724A55">
              <w:rPr>
                <w:rFonts w:ascii="Times New Roman" w:hAnsi="Times New Roman" w:cs="Times New Roman"/>
                <w:sz w:val="18"/>
                <w:szCs w:val="18"/>
              </w:rPr>
              <w:t xml:space="preserve"> Работы победителей данного конкурса получат организационную, информационную поддержку и могут быть использованы при проведении широкомасштабной информационной кампании. И является одной из эффективных форм работы по освещению антинаркотической тематики в социальных сетях и совместной работой молодежи, специалистов молодежного центра и прессы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Сбор и анализ критериев оценки антинаркотической деятельности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системы профилактики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Антинаркотическая комиссия, субъекты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системы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фактической обстановки по н</w:t>
            </w:r>
            <w:r w:rsidR="00FB1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ркоситуации в районе, принятие мер для снижения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Изучено, статистические данные в таблице в Приложении 1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Работа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горячей линии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тематическим вопросам с участием специалистов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Антинаркотическая комиссия, 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Март, ноябрь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фактов и мест  продажи наркотиков, адресов притонов, где употребляют наркотики, мест  произрастания и продажи наркосодержащих растений мака и конопли 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752DB0" w:rsidRDefault="00752DB0" w:rsidP="006E3C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проведении Общероссийской антинаркотической акции «Сообщи, где торгуют смертью!» в Киясовском районе в 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</w:t>
            </w:r>
            <w:r w:rsidR="00376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этап) </w:t>
            </w:r>
            <w:r w:rsidR="00376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организована работа телефонных линий в 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Районном-координационно методическом центре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 район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Удмуртской Республики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Отделении МВД России по Киясовскому району, Управлении образования Администрация МО «Киясовский район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 период работы телефонной линии вопросов по лечению и реабилитации лиц, сообщений по фактам реализации наркотических средств от  населения не поступ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и проведение районных оперативно-профилактических операций в рамках республиканских: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пресечению поступления в незаконный оборот наркотических средств растительного происхождения;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Допинг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выявлению источников и перекрытию каналов поступления в незаконный оборот лекарственных наркотических средств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Канал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пресечению незаконного перемещения наркотических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иных плановых мероприятий по обнаружению незаконных посевов наркокультур и уничтожению очагов произрастания дикорастущей конопли, по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выявлению, правонарушений в системе легального оборота наркотиков, перекрытию каналов их утечки, выявлению и ликвидации наркопритонов, пресечению незаконного перемещения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  сентябрь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Профилактика правонарушений, связных с незаконным оборотом наркотических средств, 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2B13B6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акции    проводятся,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основании межведомственных планов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приказов МВД по УР. Отделением МВД России по Киясовскому району в 1 полугодии 2023 года  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выявлен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59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правонарушени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ст.6.9.1 КоАП РФ</w:t>
            </w:r>
            <w:r w:rsidR="00376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Своевременное информирование учреждений здравоохранения района о потребителях наркотических средств, совершивших преступления и правонарушения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Усиление межведомственного сотрудничества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профилактики с целью организации эффективной работы, принятия своевременных мер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проводится, организуются ночные рейды, лица не выявлены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субъекты профилактики ориентированы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ru-RU"/>
              </w:rPr>
            </w:pPr>
            <w:r w:rsidRPr="004373B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КДНиЗП,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члены антинаркотической комиссии, главы 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поселений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правонарушений, связанных с злоупотреблением наркотическими средствами и психотропными веществами в общественных местах,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987781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 полугодии 2023 КДН и ЗП о</w:t>
            </w:r>
            <w:r w:rsidR="00485B18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рганизовано </w:t>
            </w: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485B18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межведомственных </w:t>
            </w:r>
            <w:r w:rsidR="00485B18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ночных рейд</w:t>
            </w:r>
            <w:r w:rsidR="00D605E9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="00DE77AC"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Закону УР №59-РЗ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Обучение специалистов, осуществляющих деятельность в сфере профилактики наркомании и ведущих борьбу с незаконным оборотом </w:t>
            </w: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профессионализма специалистов;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вовлечение населения в деятельность по профилактике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потребления наркотических средств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522D8E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марте 2023 года сотрудник молодежного центра «Ровесник» Кок</w:t>
            </w:r>
            <w:r w:rsidR="002D2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 А.А. приняла участие в Антинаркотическом форуме г.Сарапул</w:t>
            </w:r>
            <w:r w:rsidR="002D2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классный руководитель общеобразовательных школ района прош</w:t>
            </w:r>
            <w:r w:rsidR="00F12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курсы повышения клас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ификации</w:t>
            </w:r>
            <w:r w:rsidR="002D21D3" w:rsidRPr="00084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г.Казани Блинова), в том числе изучены вопросы профилактики наркомании, особенности поколения </w:t>
            </w:r>
            <w:r w:rsidR="002D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Обеспечение снижения доступности наркотических средств и психотропных веществ для незаконного потребления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работы по выявлению наркопритонов, лиц, употребляющих наркотики в немедицинских целях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СМО ФСКН по УР, ОП,РБ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Выявлению наркопритонов, лиц, употребляющих наркотики в немедицинских целях,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принятия необходимых и своевременных мер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проводится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сотрудниками Отделения МВД России по Киясовскому району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правонарушения не выявлены.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контроля за деятельностью юридических лиц, осуществляющих в соответствии с действующим законодательством РФ виды деятельности, связанные с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СМО ФСКН по УР, ОП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ведется</w:t>
            </w:r>
            <w:r w:rsidR="00522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отделением МВД России по Киясовскому району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мероприятий  по установлению мест произрастания наркосодержащих дикорастущих растений,  уничтожению таких очагов в целях противодействия незаконному  обороту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поселения района, с/х предприятия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май-октябрь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Уничтожение очагов произрастания наркосодержащих дикорастущих растений в целях противодействия незаконному  обороту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522D8E" w:rsidRPr="00522D8E" w:rsidRDefault="00522D8E" w:rsidP="00522D8E">
            <w:pPr>
              <w:pStyle w:val="af3"/>
              <w:ind w:left="0" w:right="-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1 полугодии 2023 года </w:t>
            </w:r>
            <w:r w:rsidR="00DD55CE" w:rsidRPr="00C013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предписаний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уничтожению очагов произрастания наркосодержащих растений не имеется. </w:t>
            </w:r>
            <w:r w:rsidRPr="00522D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 xml:space="preserve">а 05 июня при визуальных осмотрах территорий Ильдибаево, Ермолаево, Первомайский, Мушак, очагов произрастания дикорастущей конопли </w:t>
            </w:r>
            <w:r w:rsidR="0098778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>обнаружено. Для возможной обработки очагов произрастания дикой конопли имеется запас гербицида сплошного действия.</w:t>
            </w:r>
            <w:r w:rsidR="009877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 xml:space="preserve">Сухая погода май-июнь 2023 года не дает дикорастущей конопле активной вегетации. Территориальные отделы ведут контроль   участков  произрастания </w:t>
            </w:r>
            <w:r w:rsidRPr="00522D8E">
              <w:rPr>
                <w:rFonts w:ascii="Times New Roman" w:hAnsi="Times New Roman"/>
                <w:sz w:val="18"/>
                <w:szCs w:val="18"/>
              </w:rPr>
              <w:lastRenderedPageBreak/>
              <w:t>дикорастущей конопли.</w:t>
            </w:r>
          </w:p>
          <w:p w:rsidR="00522D8E" w:rsidRPr="009F640E" w:rsidRDefault="00522D8E" w:rsidP="00522D8E">
            <w:pPr>
              <w:pStyle w:val="af3"/>
              <w:ind w:left="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85B18" w:rsidRPr="00C01316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6771B6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Совершенствование системы выявления, лечения и реабилитации лиц, употребляющих наркотики без назначения врача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Анкетирование учащихся школ и молодежи по антинаркотической тематике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ОДМ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наркоситуации в общеобразовательных учреждениях, предупреждение незаконного употребления наркотиков школьниками,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их сознательности.   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07C36" w:rsidP="00485B18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проводилось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периодических медицинских осмотров несовершеннолетних при поступлении и прохождении обучения в образовательной организации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детей, склонных к употреблению наркотических средств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Медосмотры  проводятся согласно графика</w:t>
            </w:r>
            <w:r w:rsidR="006E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0D2807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детей,   употребляющих наркотические средства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пров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одилось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Наркологическая медицинская помощь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оказания медицинской помощи больным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квалифицированной медицинской помощи больным наркоманией;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BB37F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Киясовской РБ оказывается амбулаторная помощь, всего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1 полугодии 2023 года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посетило врача-нарколога 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человека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Реабилитация и ресоциализация больных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Направление больных на лечение в Республиканский наркологический диспансер, центр реабилитации для несовершеннолетних, злоупотребляющих наркотическими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квалифицированной медицинской помощи больным наркоманией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876E21" w:rsidRPr="00876E21" w:rsidRDefault="00987781" w:rsidP="00876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Направлено в РНД на стацлечение 2 человека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Информирование населения о возможностях получения реабилитационной помощи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о возможностях получения реабилитационной помощи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проводится как непосредственно специалистами, так и через СМИ и социальные сети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поддержки родственников лиц, потребляющих наркотики в немедицинских целях, с целью оказания психологической, правовой и консультационной поддержки в области социальной реабилитации лиц, допускающих немедицинское применение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члены Антинаркотической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Оказание психологической, правовой и консультационной поддержки родственникам лиц, злоупотребляющих наркотическими средствами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осуществляется </w:t>
            </w:r>
            <w:r w:rsid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обращении в субьекты </w:t>
            </w:r>
            <w:r w:rsidR="00474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профилактики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Отработка системы информационного обмена по лицам, проживающим на территории района, прошедшим лечение и медицинскую реабилитацию в Республиканском наркологическом центре, и нуждающимся в дальнейшей ресоциализации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Отлаженность работы при межведомственном сотрудничестве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Состоят на учете, за ними ведется наблюдение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Оказание услуг лицам, прошедшим лечение, по восстановлению трудовых навыков, трудоустройства и обучения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 Центр занятости населения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и обучение лиц, прошедших реабилитацию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5A566E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и обучение лиц, прошедших реабилитацию не было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Создание и ведение реестра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семей, члены которых нуждаются в реабилитации, ресоциализации и лечении; проведение необходимых социальных мероприятий для членов этих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сопровождение лиц, злоупотребляющих наркотическими средствами;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Такой реестр не ведется. Приказ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Минсоц политики № 354 от 30 декабря 15 г.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86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Организация районных мероприятий, организация участия в республиканских, общероссийских, международных мероприятиях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DB11F2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Принятие участия в республиканских, общероссийских акциях, конкурсах антинаркотической тематики (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Сообщи, где торгуют смертью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Удмуртия против наркотиков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Дети России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 т.п.)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  Администрации поселений района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сфере употребления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BE0968" w:rsidRPr="00BE0968" w:rsidRDefault="00AF7A20" w:rsidP="00AF7A20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</w:t>
            </w:r>
            <w:r w:rsidR="00F124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полугодии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F124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году субъектами профилактики проведены  м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ероприятия в рамках общероссийской акции «Сообщи, где торгуют смертью»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,</w:t>
            </w:r>
            <w:r w:rsidR="004749F7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 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посвященн</w:t>
            </w:r>
            <w:r w:rsidR="004749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ой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Всемирному Дню здоровья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и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«Удмуртия против наркотиков!»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и межведомственной операции «Дети России»</w:t>
            </w:r>
          </w:p>
          <w:p w:rsidR="00485B18" w:rsidRPr="00DB11F2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в образовательных организациях программ по пропаганде здорового образа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 ЗОЖ разработаны и реализуются во всех 10-ти общеобразовательных учреждениях района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Систематическое проведение  классных часов и родительских собраний с приглашением специалистов здравоохранения и сотрудников правоохранительных органов в целях доведения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до учащихся и родителей информации о вреде наркотических веществ, в том числе курительных смесей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здорового образа жизни, профилактика правонарушений в подростковой среде, снижение злоупотреблений наркотическими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Мероприятия  проводятся во время учебного процесса, на классных часах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мероприятий по профилактике наркомании и наркопреступности среди несовершеннолетних и молодежи в летний каникулярный период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ОДМ, ОФиС,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 - август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наркопреступлений в каникулярный период среди детей и подростков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29635E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День молодёжи прошли  соревнования по стритболу. Участие приняли 12 человек: работающая молодежь и подростки (мужчины и женщины, юноши и девушки)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также было не профинансировано. Все было спонсировано местными предпринимателями.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по противодействию злоупотреблениям наркотическими средствами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группах ВК «Молодежь Киясовского района», «МЦ «Ровесник» постоянно размещается реклама, объявляются конкурсы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.Конкурс состоится в августе 2023 года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Поддержка деятельности  волонтерских отрядов в районе: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формой;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проведение районного фестиваля волонтерских отрядов района;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 по снижению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580577" w:rsidRPr="00580577" w:rsidRDefault="00580577" w:rsidP="002E254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Команда волонтёров - молодёжного центра "Ровесник" стали одними из победителей на районной защите проектов Молодежного инициативного бюджетирования «Атмосфера», успешно защитили проект </w:t>
            </w: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"День молодежи 2023"</w:t>
            </w:r>
          </w:p>
          <w:p w:rsidR="00D605E9" w:rsidRPr="00580577" w:rsidRDefault="00580577" w:rsidP="002E25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антинаркотического месячника Волонтёры МЦ «Ровесник» сняли социальный видеоролик антинаркотической направленности.</w:t>
            </w:r>
          </w:p>
          <w:p w:rsidR="00485B18" w:rsidRPr="00485B18" w:rsidRDefault="00485B18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Оформление информационных уголков, стендов по профилактике наркотической зависимости, алкоголизма, табакокурения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Образовательные организации, библиотеки района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детско-подростковой среде,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Информационные уголки, стенды по профилактике наркотической зависимости, алкоголизма, табакокурения оформлены в учреждениях культуры, образования,  в библиотеках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тематических показов видеофильмов по профилактике употребления психоактивных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 РКМЦ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 видеороликов по профилактике ПАВ практикуется при проведении большинства тематических бесед со школьниками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  социальной сети ВК, на сайте ОМСУ Киясовского района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ОУ,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 РКМЦ</w:t>
            </w:r>
            <w:r w:rsidR="003C63BC"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(учреждения культуры)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175A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рамках всероссийского месячника антинаркотической направленности учреждениями системы профилактики 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  <w:r w:rsidR="009D4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тематических мероприяти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я, охвачено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2187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Организация и проведение ежегодных районных акций по пропаганде здорового образа жизни: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Дню борьбы с алкоголизмом (сентябрь)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в МО поселений района (ежеквартально);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международному Дню здоровья (апрель)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апрель – май)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Всемирному дню отказа от курения (ноябрь);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международному Дню борьбы со СПИДом (декабрь).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учреждения культуры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 профилактика правонарушений в детско -подростковой среде;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 xml:space="preserve">в МО поселений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района</w:t>
            </w:r>
            <w:r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:</w:t>
            </w:r>
          </w:p>
          <w:p w:rsidR="00C86B9D" w:rsidRPr="00B70E0A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по стритболу в День молодежи. 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«Семья» : 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чемпионат ползунков «Большие гонки для маленьких». Участие приняли 20 семей. </w:t>
            </w:r>
          </w:p>
          <w:p w:rsidR="00485B18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Гонки на самокатах «Быстрее ветра» для детей от 3 до 7 лет в День защиты детей.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о последствиях злоупотребления наркотических средств;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Литература, буклеты, брошюры постоянно приобретаются, издания по ЗОЖ выписываются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методических  часов для работников библиотек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Библиотечно-информационная деятельность учреждений культуры по популяризации ЗОЖ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профессионализма специалистов в пропаганде здорового образа жизни;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часы проводятся ежеквартально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деятельности сводных отрядов и спортивно - досуговых площадок в вечернее время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МО-поселения, СДК,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по противодействию злоупотреблениями наркотическими средствами;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Лагерь действует с 3 июля. В </w:t>
            </w:r>
            <w:r w:rsidR="00580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июне 2023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рганизован</w:t>
            </w:r>
            <w:r w:rsidR="00580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квиз в музее им. П.А. Кривоногова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мастер-класс «Окрашивание текстильных изделий в технике тай-дай»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подвижные игры каждую пятницу в Колхозном саду и чаепитие.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киновечер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дня младшие вожатые обеспечивают культурно-досуговую и спортивную деятельность: проводят с детьми интеллектуальные конкурсы, подвижные игры, квест-игры, веселые старты.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месяца каждый четверг на Центральной площади с.Киясово проходят занятия по танцам. 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в районе лагерь вечернего пребывания посещают 110 детей, в том числе дети из многодетных, малообеспеченных семей и семей СОП.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с финансированием мастер-класса и пикника; организации киновечера, в связи с отсутствием лицензии на показ фильмов на широкую аудиторию.</w:t>
            </w: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трудоустройства подростков и молодежи, в том числе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группы риска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ЦЗН,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занятости несовершеннолетних, 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июне трудоустроено 35 человек по 4 программам: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«Территория спорта»</w:t>
            </w:r>
            <w:r>
              <w:t xml:space="preserve">,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«Молодежный десант по-Киясовски»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«Клубный дворик»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«Живи,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родник»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(подсобные рабочие).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июле трудоустроено 21 человек по 3 программам:</w:t>
            </w:r>
            <w:r>
              <w:t xml:space="preserve">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«Добрые сердца»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«Зеленый десант»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(подсобные рабочие),</w:t>
            </w:r>
            <w:r>
              <w:t xml:space="preserve">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«Мастерская хорошего настроения»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(аниматоры (младшие вожатые сводных отрядов)). В том числе дети из семей СОП, учета ПДН и ВШУ. 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 подростками зачастую возникают проблемы с оформлением документов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трудоустройство. </w:t>
            </w: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занятий в спортивных секциях для детей, в том числе  из малообеспеченных и неблагополучных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ОФиС, ДЮСШ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занятия физической культурой и спортом;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C459E5" w:rsidRDefault="00C86B9D" w:rsidP="00C86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районе насчитывается 37 </w:t>
            </w:r>
            <w:r w:rsidRPr="00C45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объединений, занимающихся физкультурно-оздоровительной работой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438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занимающихся в них в возрасте до 14 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1284 чел., 15-29 лет – 1000 чел.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 всеми категориями.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B4381C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спортивных мероприятий, пропагандирующих здоровый образ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ОФиС, ДЮСШ, ДДТ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занятия физической культурой и спортом;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</w:t>
            </w:r>
            <w:r w:rsidR="00580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полугодия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множество спортивно-массовых мероприятий, к участию привлечено более 3000 чел.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работы общественных наркологических постов в образовательных учреждениях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Наркологические посты работают в МКОУ Киясовская СОШ, МКОУ Подгорновская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Руководители наркопостов прошли курсы повышения квалификации, обеспечены методической литературой. Ежегодно корректируются планы в зависимости от потребностей школы.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Проведение тестирования призывников с целью выявления лиц, злоупотребляющих наркотическими средствами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8E4D9E" w:rsidRDefault="00C86B9D" w:rsidP="00C86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</w:t>
            </w:r>
            <w:r w:rsidRPr="008E4D9E">
              <w:rPr>
                <w:rFonts w:ascii="Times New Roman" w:eastAsia="Calibri" w:hAnsi="Times New Roman" w:cs="Times New Roman"/>
                <w:sz w:val="18"/>
                <w:szCs w:val="18"/>
              </w:rPr>
              <w:t>не проводилось, т.к. все анализы на выявление ПАВ в биологических жидкостях проводятся централизованно в БУЗ УР «РНД МЗ УР»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ОДМ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общественных организаций в деятельность по профилактике потребления наркотических средств;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злоупотреблений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Проводится методическая и финансовая поддержка деятельности местных отделений МДОО «Юность», ДОО «Родники», ВОО «Молодая Гвардия Единой России», СРМ «Спас», ДМОО «Волонтёры Удмуртии»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по антинаркотической тематике; 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Разрабатываются и распространяются буклеты среди обслуживаемых </w:t>
            </w:r>
            <w:r w:rsidR="00B50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КЦСОН Киясовского района. 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аспространялась печатная продукция предоставленная МВД по УР,Отделением МВД России по Киясовскому району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Размещение в СМИ, в том числе на Интернет - сайтах, материалов по вопросам ответственности, связанной с незаконным приобретением, хранением и сбытом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605BF7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иальных 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сетях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Управлением образования размещено 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учреждениями культуры </w:t>
            </w:r>
            <w:r w:rsidR="00617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постов антинаркотической тематики</w:t>
            </w:r>
            <w:r w:rsidR="00C86B9D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Продолжить работу СМИ по формированию общественного мнения, направленного на популяризацию здорового образа жизни и предупреждение употребления психоактивных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605BF7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Газетой «Знамя труда» опубликовано 5 материалов, 300 постов антинаркотической тематики и ведению здорового образа жизни</w:t>
            </w:r>
            <w:r w:rsidR="00C86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посты направленные на популяризацию ЗОЖ выкладываются на страницах в соцсетях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46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Организация и проведение </w:t>
            </w: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профилактических мероприятий с группами риска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Выявление  обучающихся, склонных к табакокурению, употреблению спиртных напитков и ПАВ, и постановка их на внутришкольный учет (анкетирование, беседы, тренинги, психологическое тестирование и др.консультации)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 - май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:rsidR="00C86B9D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рейдов в  неблагополучные семьи с целью проведения профилактической работы и выявления лиц, употребляющих психоактивные вещества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КДНиЗП, 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526C34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Организовано </w:t>
            </w:r>
            <w:r w:rsidR="002E1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</w:t>
            </w:r>
            <w:r w:rsidR="00580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 КДН и ЗП</w:t>
            </w:r>
          </w:p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9D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антинаркотической пропаганды среди лиц, состоящих на учете в учреждениях уголовно-исполнительной системы, с целью повышения уровня  их осведомленности о негативных последствиях немедицинского потребления наркотиков и об ответственности за участие в преступлениях, связанных с незаконным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Уголовно-исполнительная инспекция  </w:t>
            </w:r>
          </w:p>
        </w:tc>
        <w:tc>
          <w:tcPr>
            <w:tcW w:w="1459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C86B9D" w:rsidRPr="00485B18" w:rsidRDefault="00C86B9D" w:rsidP="00C86B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Профилактическая работа, проверка лиц проводится постоянно</w:t>
            </w:r>
          </w:p>
        </w:tc>
        <w:tc>
          <w:tcPr>
            <w:tcW w:w="1842" w:type="dxa"/>
            <w:noWrap/>
            <w:vAlign w:val="bottom"/>
            <w:hideMark/>
          </w:tcPr>
          <w:p w:rsidR="00C86B9D" w:rsidRPr="00485B18" w:rsidRDefault="00C86B9D" w:rsidP="00C86B9D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A8" w:rsidRDefault="00893DA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AA" w:rsidRDefault="005731AA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AA" w:rsidRDefault="005731AA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E7" w:rsidRDefault="007635E7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1E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3. </w:t>
      </w:r>
      <w:r w:rsidRPr="00485B1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года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ind w:firstLine="317"/>
        <w:rPr>
          <w:rFonts w:ascii="Times New Roman" w:eastAsia="Calibri" w:hAnsi="Times New Roman" w:cs="Times New Roman"/>
          <w:sz w:val="24"/>
          <w:szCs w:val="24"/>
        </w:rPr>
      </w:pPr>
      <w:r w:rsidRPr="00485B18">
        <w:rPr>
          <w:rFonts w:ascii="Times New Roman" w:eastAsia="Calibri" w:hAnsi="Times New Roman" w:cs="Times New Roman"/>
          <w:sz w:val="24"/>
          <w:szCs w:val="24"/>
        </w:rPr>
        <w:t>В рамках  программы меры муниципального регулирования не применяются.</w:t>
      </w: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2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5D0503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534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года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программы муниципальные услуги муниципальными учреждениями не оказываются.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1C7" w:rsidRDefault="005A51C7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5.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«Киясовский район» на реализацию муниципальной программы </w:t>
      </w:r>
    </w:p>
    <w:p w:rsidR="00485B18" w:rsidRPr="00485B18" w:rsidRDefault="005D0503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«Киясовский район»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состоянию на</w:t>
      </w:r>
      <w:r w:rsidRPr="00485B1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01.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года</w:t>
      </w:r>
    </w:p>
    <w:tbl>
      <w:tblPr>
        <w:tblW w:w="15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"/>
        <w:gridCol w:w="475"/>
        <w:gridCol w:w="430"/>
        <w:gridCol w:w="490"/>
        <w:gridCol w:w="429"/>
        <w:gridCol w:w="641"/>
        <w:gridCol w:w="1361"/>
        <w:gridCol w:w="728"/>
        <w:gridCol w:w="189"/>
        <w:gridCol w:w="1642"/>
        <w:gridCol w:w="620"/>
        <w:gridCol w:w="429"/>
        <w:gridCol w:w="429"/>
        <w:gridCol w:w="1110"/>
        <w:gridCol w:w="514"/>
        <w:gridCol w:w="825"/>
        <w:gridCol w:w="872"/>
        <w:gridCol w:w="863"/>
        <w:gridCol w:w="851"/>
        <w:gridCol w:w="850"/>
        <w:gridCol w:w="917"/>
        <w:gridCol w:w="917"/>
        <w:gridCol w:w="359"/>
      </w:tblGrid>
      <w:tr w:rsidR="005731AA" w:rsidRPr="00485B18" w:rsidTr="005731A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17" w:type="dxa"/>
            <w:gridSpan w:val="2"/>
          </w:tcPr>
          <w:p w:rsidR="005731AA" w:rsidRPr="00A61F39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</w:p>
        </w:tc>
        <w:tc>
          <w:tcPr>
            <w:tcW w:w="11198" w:type="dxa"/>
            <w:gridSpan w:val="14"/>
            <w:shd w:val="clear" w:color="auto" w:fill="auto"/>
          </w:tcPr>
          <w:p w:rsidR="005731AA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5731AA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  <w:p w:rsidR="005731AA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31AA" w:rsidRPr="00485B18" w:rsidTr="005731A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14"/>
            <w:shd w:val="clear" w:color="auto" w:fill="auto"/>
          </w:tcPr>
          <w:p w:rsidR="005731AA" w:rsidRPr="00485B18" w:rsidRDefault="005731AA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31AA" w:rsidRPr="00485B18" w:rsidTr="002507B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3"/>
          <w:tblHeader/>
        </w:trPr>
        <w:tc>
          <w:tcPr>
            <w:tcW w:w="2482" w:type="dxa"/>
            <w:gridSpan w:val="6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89" w:type="dxa"/>
            <w:gridSpan w:val="2"/>
            <w:vMerge w:val="restart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31" w:type="dxa"/>
            <w:gridSpan w:val="2"/>
            <w:vMerge w:val="restart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02" w:type="dxa"/>
            <w:gridSpan w:val="5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37"/>
          <w:tblHeader/>
        </w:trPr>
        <w:tc>
          <w:tcPr>
            <w:tcW w:w="492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29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089" w:type="dxa"/>
            <w:gridSpan w:val="2"/>
            <w:vMerge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9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429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110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514" w:type="dxa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25" w:type="dxa"/>
            <w:vAlign w:val="center"/>
            <w:hideMark/>
          </w:tcPr>
          <w:p w:rsidR="005731AA" w:rsidRPr="00485B18" w:rsidRDefault="005731AA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72" w:type="dxa"/>
            <w:vAlign w:val="center"/>
            <w:hideMark/>
          </w:tcPr>
          <w:p w:rsidR="005731AA" w:rsidRPr="00485B18" w:rsidRDefault="005731AA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63" w:type="dxa"/>
            <w:vAlign w:val="center"/>
            <w:hideMark/>
          </w:tcPr>
          <w:p w:rsidR="005731AA" w:rsidRPr="00485B18" w:rsidRDefault="005731AA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:rsidR="005731AA" w:rsidRPr="00485B18" w:rsidRDefault="005731AA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  <w:hideMark/>
          </w:tcPr>
          <w:p w:rsidR="005731AA" w:rsidRPr="00485B18" w:rsidRDefault="005731A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17" w:type="dxa"/>
            <w:vAlign w:val="center"/>
          </w:tcPr>
          <w:p w:rsidR="005731AA" w:rsidRPr="00485B18" w:rsidRDefault="005731A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917" w:type="dxa"/>
          </w:tcPr>
          <w:p w:rsidR="005731AA" w:rsidRDefault="005731A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Default="005731A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</w:t>
            </w: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332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0439D" w:rsidRDefault="005731AA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«Муниципальный округ </w:t>
            </w: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Киясовский район Удмуртской Республики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731AA" w:rsidRPr="0040439D" w:rsidRDefault="005731AA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2016 – 2025 гг.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1100061970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  <w:p w:rsidR="005731AA" w:rsidRPr="00485B18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Default="005731AA" w:rsidP="005731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Координация деятельности субъектов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7"/>
                <w:szCs w:val="17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профилактики наркомании, развитие и укрепление системы межведомственного взаимодействия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95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по вопросам противодействия злоупотреблению наркотическими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lastRenderedPageBreak/>
              <w:t>средствами и психотропными веществами</w:t>
            </w:r>
          </w:p>
        </w:tc>
        <w:tc>
          <w:tcPr>
            <w:tcW w:w="1831" w:type="dxa"/>
            <w:gridSpan w:val="2"/>
            <w:vAlign w:val="bottom"/>
            <w:hideMark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нтинаркотическая комиссия, 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КДНиЗП,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члены антинаркотической комиссии, главы МО-поселений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Обучение специалистов, осуществляющих деятельность в сфере 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35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831" w:type="dxa"/>
            <w:gridSpan w:val="2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65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3.1.3</w:t>
            </w:r>
          </w:p>
        </w:tc>
        <w:tc>
          <w:tcPr>
            <w:tcW w:w="2089" w:type="dxa"/>
            <w:gridSpan w:val="2"/>
            <w:vAlign w:val="center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831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Организация районных мероприятий, организация участия в </w:t>
            </w: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lastRenderedPageBreak/>
              <w:t>республиканских, общероссийских, международных мероприятиях</w:t>
            </w:r>
          </w:p>
        </w:tc>
        <w:tc>
          <w:tcPr>
            <w:tcW w:w="1831" w:type="dxa"/>
            <w:gridSpan w:val="2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4.1.5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4.1.6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Поддержка деятельности  волонтерских отрядов в районе: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обеспечение формой;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проведение районного фестиваля волонтерских отрядов района;  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»; 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4.1.9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ОУ, ОК (учреждения культуры)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4.1.10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lastRenderedPageBreak/>
              <w:t>Организация и проведение ежегодных районных акций по пропаганде здорового образа жизни: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Удмуртия против наркотиков!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Дню борьбы с наркоманией (июнь);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lastRenderedPageBreak/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Дню борьбы с алкоголизмом (сентябрь)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в МО поселений района (ежеквартально);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международному Дню здоровья (апрель)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апрель – май)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Всемирному дню отказа от курения (ноябрь);</w:t>
            </w:r>
          </w:p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международному Дню борьбы со СПИДом (декабрь).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учреждения культуры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 3,0*</w:t>
            </w: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3,0*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4.1.11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Центральная библиотека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4.1.19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ОДМ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731AA" w:rsidRPr="00485B18" w:rsidTr="005731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4.1.20</w:t>
            </w:r>
          </w:p>
        </w:tc>
        <w:tc>
          <w:tcPr>
            <w:tcW w:w="2089" w:type="dxa"/>
            <w:gridSpan w:val="2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831" w:type="dxa"/>
            <w:gridSpan w:val="2"/>
            <w:vAlign w:val="bottom"/>
          </w:tcPr>
          <w:p w:rsidR="005731AA" w:rsidRPr="00485B18" w:rsidRDefault="005731A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</w:tcPr>
          <w:p w:rsidR="005731AA" w:rsidRPr="00485B18" w:rsidRDefault="005731A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485B18" w:rsidRP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5346BB" w:rsidRPr="005346BB" w:rsidRDefault="005D0503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" w:history="1">
        <w:r w:rsidR="005346BB" w:rsidRPr="005346B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5346BB"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«Киясовский район»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01.0</w:t>
      </w:r>
      <w:r w:rsidR="00A8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1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tbl>
      <w:tblPr>
        <w:tblW w:w="15155" w:type="dxa"/>
        <w:tblInd w:w="93" w:type="dxa"/>
        <w:tblLook w:val="04A0" w:firstRow="1" w:lastRow="0" w:firstColumn="1" w:lastColumn="0" w:noHBand="0" w:noVBand="1"/>
      </w:tblPr>
      <w:tblGrid>
        <w:gridCol w:w="15"/>
        <w:gridCol w:w="459"/>
        <w:gridCol w:w="534"/>
        <w:gridCol w:w="474"/>
        <w:gridCol w:w="376"/>
        <w:gridCol w:w="425"/>
        <w:gridCol w:w="1418"/>
        <w:gridCol w:w="850"/>
        <w:gridCol w:w="1556"/>
        <w:gridCol w:w="567"/>
        <w:gridCol w:w="429"/>
        <w:gridCol w:w="567"/>
        <w:gridCol w:w="1134"/>
        <w:gridCol w:w="567"/>
        <w:gridCol w:w="1134"/>
        <w:gridCol w:w="283"/>
        <w:gridCol w:w="851"/>
        <w:gridCol w:w="1559"/>
        <w:gridCol w:w="992"/>
        <w:gridCol w:w="426"/>
        <w:gridCol w:w="539"/>
      </w:tblGrid>
      <w:tr w:rsidR="00257F78" w:rsidRPr="005346BB" w:rsidTr="00257F78">
        <w:trPr>
          <w:gridBefore w:val="1"/>
          <w:gridAfter w:val="5"/>
          <w:wBefore w:w="15" w:type="dxa"/>
          <w:wAfter w:w="4367" w:type="dxa"/>
        </w:trPr>
        <w:tc>
          <w:tcPr>
            <w:tcW w:w="3686" w:type="dxa"/>
            <w:gridSpan w:val="6"/>
            <w:shd w:val="clear" w:color="auto" w:fill="auto"/>
          </w:tcPr>
          <w:p w:rsidR="005346BB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F78" w:rsidRPr="00485B18" w:rsidTr="00257F78">
        <w:trPr>
          <w:gridBefore w:val="1"/>
          <w:gridAfter w:val="1"/>
          <w:wBefore w:w="15" w:type="dxa"/>
          <w:wAfter w:w="539" w:type="dxa"/>
        </w:trPr>
        <w:tc>
          <w:tcPr>
            <w:tcW w:w="3686" w:type="dxa"/>
            <w:gridSpan w:val="6"/>
            <w:shd w:val="clear" w:color="auto" w:fill="auto"/>
          </w:tcPr>
          <w:p w:rsidR="00257F78" w:rsidRPr="00485B18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gridSpan w:val="13"/>
            <w:shd w:val="clear" w:color="auto" w:fill="auto"/>
          </w:tcPr>
          <w:p w:rsidR="006D7C87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257F78" w:rsidRPr="00485B18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9"/>
          <w:tblHeader/>
        </w:trPr>
        <w:tc>
          <w:tcPr>
            <w:tcW w:w="2283" w:type="dxa"/>
            <w:gridSpan w:val="6"/>
            <w:vMerge w:val="restart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Коды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264" w:type="dxa"/>
            <w:gridSpan w:val="5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3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87"/>
          <w:tblHeader/>
        </w:trPr>
        <w:tc>
          <w:tcPr>
            <w:tcW w:w="2283" w:type="dxa"/>
            <w:gridSpan w:val="6"/>
            <w:vMerge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965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99"/>
          <w:tblHeader/>
        </w:trPr>
        <w:tc>
          <w:tcPr>
            <w:tcW w:w="474" w:type="dxa"/>
            <w:gridSpan w:val="2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978"/>
        </w:trPr>
        <w:tc>
          <w:tcPr>
            <w:tcW w:w="474" w:type="dxa"/>
            <w:gridSpan w:val="2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257F78" w:rsidRPr="00485B18" w:rsidRDefault="008144DE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1556" w:type="dxa"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C1797" w:rsidRDefault="0040439D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1100061970</w:t>
            </w:r>
          </w:p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59" w:type="dxa"/>
            <w:noWrap/>
          </w:tcPr>
          <w:p w:rsidR="00257F78" w:rsidRPr="005346BB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257F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57F78" w:rsidRPr="005346BB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2364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A82364" w:rsidRPr="00485B18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3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76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556" w:type="dxa"/>
            <w:vAlign w:val="center"/>
          </w:tcPr>
          <w:p w:rsidR="00A82364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2364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A82364" w:rsidRPr="00485B18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3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4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76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2364" w:rsidRPr="005346BB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556" w:type="dxa"/>
            <w:vAlign w:val="center"/>
          </w:tcPr>
          <w:p w:rsidR="00A82364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67" w:type="dxa"/>
            <w:noWrap/>
          </w:tcPr>
          <w:p w:rsidR="00A82364" w:rsidRPr="00485B18" w:rsidRDefault="00A82364" w:rsidP="00A823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noWrap/>
          </w:tcPr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:rsidR="00A82364" w:rsidRPr="005346BB" w:rsidRDefault="00A82364" w:rsidP="00A8236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485B18" w:rsidRPr="00485B18" w:rsidRDefault="005346BB" w:rsidP="00257F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257F78"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6.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B18" w:rsidRPr="00485B18" w:rsidRDefault="005D0503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8" w:history="1">
        <w:r w:rsidR="00485B18" w:rsidRPr="00485B1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5B18" w:rsidRPr="00485B18" w:rsidRDefault="00257F7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полугодие 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485B18" w:rsidRPr="00485B18" w:rsidTr="00EA1A00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485B18" w:rsidRPr="00485B18" w:rsidTr="00EA1A00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A82364">
        <w:trPr>
          <w:trHeight w:val="70"/>
        </w:trPr>
        <w:tc>
          <w:tcPr>
            <w:tcW w:w="778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485B18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noWrap/>
          </w:tcPr>
          <w:p w:rsidR="00257F78" w:rsidRPr="00485B18" w:rsidRDefault="00A82364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5B18" w:rsidRPr="00485B18" w:rsidTr="00A8236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A82364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5B18" w:rsidRPr="00485B18" w:rsidTr="00A8236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 w:firstLineChars="2" w:firstLine="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A82364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noWrap/>
          </w:tcPr>
          <w:p w:rsidR="00485B18" w:rsidRPr="00485B18" w:rsidRDefault="00A82364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346037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vAlign w:val="bottom"/>
            <w:hideMark/>
          </w:tcPr>
          <w:p w:rsidR="00485B18" w:rsidRPr="00485B18" w:rsidRDefault="00485B18" w:rsidP="00A2527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46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Pr="00485B1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7. </w:t>
      </w:r>
      <w:hyperlink r:id="rId19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:rsidR="00485B18" w:rsidRPr="00485B18" w:rsidRDefault="00A82364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полугодие 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85B18" w:rsidRPr="00485B18" w:rsidTr="00EA1A00">
        <w:trPr>
          <w:trHeight w:val="20"/>
        </w:trPr>
        <w:tc>
          <w:tcPr>
            <w:tcW w:w="50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85B18" w:rsidRPr="00485B18" w:rsidTr="00A82364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отчетный период изменения в муниципальную программу не вносились.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8. 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485B18" w:rsidRPr="00485B18" w:rsidRDefault="00485B18" w:rsidP="00485B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A82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полугодие 2023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686"/>
        <w:gridCol w:w="11056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6D7C87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4"/>
        <w:gridCol w:w="1417"/>
        <w:gridCol w:w="1559"/>
        <w:gridCol w:w="1842"/>
        <w:gridCol w:w="1843"/>
        <w:gridCol w:w="1843"/>
        <w:gridCol w:w="1559"/>
        <w:gridCol w:w="1985"/>
      </w:tblGrid>
      <w:tr w:rsidR="00485B18" w:rsidRPr="00485B18" w:rsidTr="008144DE">
        <w:tc>
          <w:tcPr>
            <w:tcW w:w="1276" w:type="dxa"/>
            <w:gridSpan w:val="2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5B18" w:rsidRPr="00485B18" w:rsidRDefault="00346037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твенный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485B18" w:rsidRPr="00485B18" w:rsidTr="008144DE">
        <w:tc>
          <w:tcPr>
            <w:tcW w:w="70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5D0503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5D0503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5D0503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5D0503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5D0503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</w:tc>
      </w:tr>
      <w:tr w:rsidR="00485B18" w:rsidRPr="00485B18" w:rsidTr="008144DE">
        <w:tc>
          <w:tcPr>
            <w:tcW w:w="709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85B18" w:rsidRPr="00485B18" w:rsidRDefault="006D7C87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lastRenderedPageBreak/>
              <w:t xml:space="preserve">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1417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Заместитель главы Администрации МО </w:t>
            </w:r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льный округ </w:t>
            </w:r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>Киясовский район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 w:rsidR="008144DE" w:rsidRPr="00485B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по социальным вопросам</w:t>
            </w:r>
          </w:p>
        </w:tc>
        <w:tc>
          <w:tcPr>
            <w:tcW w:w="1559" w:type="dxa"/>
            <w:shd w:val="clear" w:color="auto" w:fill="auto"/>
          </w:tcPr>
          <w:p w:rsidR="00485B18" w:rsidRPr="00485B18" w:rsidRDefault="00485B18" w:rsidP="00485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Антинаркотическая комиссия при Администрации МО «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ный округ 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Киясовский район</w:t>
            </w:r>
            <w:r w:rsidR="008144DE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43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9A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85B18" w:rsidRPr="00485B18" w:rsidRDefault="004C1797" w:rsidP="00A57630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5B18" w:rsidRPr="00485B18" w:rsidRDefault="00485B18" w:rsidP="00485B18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1A" w:rsidRDefault="0030121A"/>
    <w:sectPr w:rsidR="0030121A" w:rsidSect="00240E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503" w:rsidRDefault="005D0503" w:rsidP="00485B18">
      <w:pPr>
        <w:spacing w:after="0" w:line="240" w:lineRule="auto"/>
      </w:pPr>
      <w:r>
        <w:separator/>
      </w:r>
    </w:p>
  </w:endnote>
  <w:endnote w:type="continuationSeparator" w:id="0">
    <w:p w:rsidR="005D0503" w:rsidRDefault="005D0503" w:rsidP="004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503" w:rsidRDefault="005D0503" w:rsidP="00485B18">
      <w:pPr>
        <w:spacing w:after="0" w:line="240" w:lineRule="auto"/>
      </w:pPr>
      <w:r>
        <w:separator/>
      </w:r>
    </w:p>
  </w:footnote>
  <w:footnote w:type="continuationSeparator" w:id="0">
    <w:p w:rsidR="005D0503" w:rsidRDefault="005D0503" w:rsidP="00485B18">
      <w:pPr>
        <w:spacing w:after="0" w:line="240" w:lineRule="auto"/>
      </w:pPr>
      <w:r>
        <w:continuationSeparator/>
      </w:r>
    </w:p>
  </w:footnote>
  <w:footnote w:id="1">
    <w:p w:rsidR="008B52FA" w:rsidRPr="008D17E2" w:rsidRDefault="008B52FA" w:rsidP="00485B18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C3FA3"/>
    <w:multiLevelType w:val="hybridMultilevel"/>
    <w:tmpl w:val="049E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33D1"/>
    <w:multiLevelType w:val="hybridMultilevel"/>
    <w:tmpl w:val="794029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22561"/>
    <w:multiLevelType w:val="hybridMultilevel"/>
    <w:tmpl w:val="D624CA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C40247"/>
    <w:multiLevelType w:val="hybridMultilevel"/>
    <w:tmpl w:val="1D50F26A"/>
    <w:lvl w:ilvl="0" w:tplc="3B6C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0714"/>
    <w:multiLevelType w:val="hybridMultilevel"/>
    <w:tmpl w:val="C13832B6"/>
    <w:lvl w:ilvl="0" w:tplc="5136F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0C8E674D"/>
    <w:multiLevelType w:val="multilevel"/>
    <w:tmpl w:val="8F68F8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21D3E"/>
    <w:multiLevelType w:val="hybridMultilevel"/>
    <w:tmpl w:val="B70CC55E"/>
    <w:lvl w:ilvl="0" w:tplc="9E2A5F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0A05C0E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6129"/>
    <w:multiLevelType w:val="multilevel"/>
    <w:tmpl w:val="6DD0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41306"/>
    <w:multiLevelType w:val="hybridMultilevel"/>
    <w:tmpl w:val="39CE0746"/>
    <w:lvl w:ilvl="0" w:tplc="C30EA04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24AC9"/>
    <w:multiLevelType w:val="hybridMultilevel"/>
    <w:tmpl w:val="4956DFCA"/>
    <w:lvl w:ilvl="0" w:tplc="F3E41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42A42"/>
    <w:multiLevelType w:val="multilevel"/>
    <w:tmpl w:val="BAA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101AC"/>
    <w:multiLevelType w:val="multilevel"/>
    <w:tmpl w:val="856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46E0CAF"/>
    <w:multiLevelType w:val="hybridMultilevel"/>
    <w:tmpl w:val="98521592"/>
    <w:lvl w:ilvl="0" w:tplc="D870C8D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3832"/>
    <w:multiLevelType w:val="multilevel"/>
    <w:tmpl w:val="3FC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7A5C85"/>
    <w:multiLevelType w:val="hybridMultilevel"/>
    <w:tmpl w:val="5F5E03D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DC0572"/>
    <w:multiLevelType w:val="hybridMultilevel"/>
    <w:tmpl w:val="C6F09ECA"/>
    <w:lvl w:ilvl="0" w:tplc="58A4EDE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6" w15:restartNumberingAfterBreak="0">
    <w:nsid w:val="49F919A1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8312E"/>
    <w:multiLevelType w:val="hybridMultilevel"/>
    <w:tmpl w:val="06C41002"/>
    <w:lvl w:ilvl="0" w:tplc="9866285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8F324D6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96936"/>
    <w:multiLevelType w:val="hybridMultilevel"/>
    <w:tmpl w:val="1D18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7E71CF"/>
    <w:multiLevelType w:val="multilevel"/>
    <w:tmpl w:val="B8841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2563A3A"/>
    <w:multiLevelType w:val="hybridMultilevel"/>
    <w:tmpl w:val="135C0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D7441F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CC51B52"/>
    <w:multiLevelType w:val="hybridMultilevel"/>
    <w:tmpl w:val="BC4896B0"/>
    <w:lvl w:ilvl="0" w:tplc="E5C8B38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574337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768CE"/>
    <w:multiLevelType w:val="multilevel"/>
    <w:tmpl w:val="77EAC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C3D0983"/>
    <w:multiLevelType w:val="multilevel"/>
    <w:tmpl w:val="228E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39"/>
  </w:num>
  <w:num w:numId="4">
    <w:abstractNumId w:val="32"/>
  </w:num>
  <w:num w:numId="5">
    <w:abstractNumId w:val="16"/>
  </w:num>
  <w:num w:numId="6">
    <w:abstractNumId w:val="28"/>
  </w:num>
  <w:num w:numId="7">
    <w:abstractNumId w:val="9"/>
  </w:num>
  <w:num w:numId="8">
    <w:abstractNumId w:val="24"/>
  </w:num>
  <w:num w:numId="9">
    <w:abstractNumId w:val="23"/>
  </w:num>
  <w:num w:numId="10">
    <w:abstractNumId w:val="25"/>
  </w:num>
  <w:num w:numId="11">
    <w:abstractNumId w:val="35"/>
  </w:num>
  <w:num w:numId="12">
    <w:abstractNumId w:val="20"/>
  </w:num>
  <w:num w:numId="13">
    <w:abstractNumId w:val="17"/>
  </w:num>
  <w:num w:numId="14">
    <w:abstractNumId w:val="5"/>
  </w:num>
  <w:num w:numId="15">
    <w:abstractNumId w:val="29"/>
  </w:num>
  <w:num w:numId="16">
    <w:abstractNumId w:val="19"/>
  </w:num>
  <w:num w:numId="17">
    <w:abstractNumId w:val="3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6"/>
  </w:num>
  <w:num w:numId="22">
    <w:abstractNumId w:val="10"/>
  </w:num>
  <w:num w:numId="23">
    <w:abstractNumId w:val="37"/>
  </w:num>
  <w:num w:numId="24">
    <w:abstractNumId w:val="34"/>
  </w:num>
  <w:num w:numId="25">
    <w:abstractNumId w:val="27"/>
  </w:num>
  <w:num w:numId="26">
    <w:abstractNumId w:val="14"/>
  </w:num>
  <w:num w:numId="27">
    <w:abstractNumId w:val="18"/>
  </w:num>
  <w:num w:numId="28">
    <w:abstractNumId w:val="31"/>
  </w:num>
  <w:num w:numId="29">
    <w:abstractNumId w:val="7"/>
  </w:num>
  <w:num w:numId="30">
    <w:abstractNumId w:val="11"/>
  </w:num>
  <w:num w:numId="31">
    <w:abstractNumId w:val="15"/>
  </w:num>
  <w:num w:numId="32">
    <w:abstractNumId w:val="40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1"/>
  </w:num>
  <w:num w:numId="38">
    <w:abstractNumId w:val="36"/>
  </w:num>
  <w:num w:numId="39">
    <w:abstractNumId w:val="30"/>
  </w:num>
  <w:num w:numId="40">
    <w:abstractNumId w:val="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B18"/>
    <w:rsid w:val="000218E6"/>
    <w:rsid w:val="00071DBC"/>
    <w:rsid w:val="000845E4"/>
    <w:rsid w:val="00093BFD"/>
    <w:rsid w:val="00094679"/>
    <w:rsid w:val="000D2807"/>
    <w:rsid w:val="000D5234"/>
    <w:rsid w:val="00102BAE"/>
    <w:rsid w:val="00104C49"/>
    <w:rsid w:val="001058F9"/>
    <w:rsid w:val="00122FD5"/>
    <w:rsid w:val="00126B04"/>
    <w:rsid w:val="00165F46"/>
    <w:rsid w:val="00167331"/>
    <w:rsid w:val="00172651"/>
    <w:rsid w:val="001738B0"/>
    <w:rsid w:val="00174E90"/>
    <w:rsid w:val="001971A2"/>
    <w:rsid w:val="001E457B"/>
    <w:rsid w:val="001E608A"/>
    <w:rsid w:val="00240679"/>
    <w:rsid w:val="00240E93"/>
    <w:rsid w:val="00257F78"/>
    <w:rsid w:val="00260491"/>
    <w:rsid w:val="00271793"/>
    <w:rsid w:val="00271DDC"/>
    <w:rsid w:val="00271FC7"/>
    <w:rsid w:val="0029635E"/>
    <w:rsid w:val="002A2604"/>
    <w:rsid w:val="002A4D55"/>
    <w:rsid w:val="002B0B5D"/>
    <w:rsid w:val="002B13B6"/>
    <w:rsid w:val="002D21D3"/>
    <w:rsid w:val="002D69C7"/>
    <w:rsid w:val="002E170F"/>
    <w:rsid w:val="002E254D"/>
    <w:rsid w:val="0030121A"/>
    <w:rsid w:val="003127E8"/>
    <w:rsid w:val="00324BE0"/>
    <w:rsid w:val="00325E04"/>
    <w:rsid w:val="00334018"/>
    <w:rsid w:val="00346037"/>
    <w:rsid w:val="003505F1"/>
    <w:rsid w:val="003576B5"/>
    <w:rsid w:val="003622B3"/>
    <w:rsid w:val="003761AF"/>
    <w:rsid w:val="00385B9C"/>
    <w:rsid w:val="00395F92"/>
    <w:rsid w:val="003A5BB8"/>
    <w:rsid w:val="003A70D0"/>
    <w:rsid w:val="003B3C88"/>
    <w:rsid w:val="003C63BC"/>
    <w:rsid w:val="003D1458"/>
    <w:rsid w:val="003D60AD"/>
    <w:rsid w:val="004034EA"/>
    <w:rsid w:val="0040439D"/>
    <w:rsid w:val="00407C36"/>
    <w:rsid w:val="0042645E"/>
    <w:rsid w:val="004373BE"/>
    <w:rsid w:val="004749F7"/>
    <w:rsid w:val="00485B18"/>
    <w:rsid w:val="00486F50"/>
    <w:rsid w:val="0049098C"/>
    <w:rsid w:val="004B2C8A"/>
    <w:rsid w:val="004C1797"/>
    <w:rsid w:val="004D1C19"/>
    <w:rsid w:val="004E417C"/>
    <w:rsid w:val="004F0061"/>
    <w:rsid w:val="0050174B"/>
    <w:rsid w:val="00522523"/>
    <w:rsid w:val="00522D8E"/>
    <w:rsid w:val="00523910"/>
    <w:rsid w:val="00526C34"/>
    <w:rsid w:val="005309AF"/>
    <w:rsid w:val="005346BB"/>
    <w:rsid w:val="0054009B"/>
    <w:rsid w:val="0054425A"/>
    <w:rsid w:val="005731AA"/>
    <w:rsid w:val="00580577"/>
    <w:rsid w:val="00591C40"/>
    <w:rsid w:val="005A05D1"/>
    <w:rsid w:val="005A51C7"/>
    <w:rsid w:val="005A566E"/>
    <w:rsid w:val="005D0503"/>
    <w:rsid w:val="00605BF7"/>
    <w:rsid w:val="006175A0"/>
    <w:rsid w:val="0062419D"/>
    <w:rsid w:val="00636A8D"/>
    <w:rsid w:val="00637177"/>
    <w:rsid w:val="006418C3"/>
    <w:rsid w:val="00654915"/>
    <w:rsid w:val="00675E93"/>
    <w:rsid w:val="006771B6"/>
    <w:rsid w:val="00694917"/>
    <w:rsid w:val="006C5099"/>
    <w:rsid w:val="006D7C87"/>
    <w:rsid w:val="006E3C15"/>
    <w:rsid w:val="006F54A2"/>
    <w:rsid w:val="00703E01"/>
    <w:rsid w:val="00724A55"/>
    <w:rsid w:val="00752DB0"/>
    <w:rsid w:val="007635E7"/>
    <w:rsid w:val="00780BC0"/>
    <w:rsid w:val="007B4AAD"/>
    <w:rsid w:val="007B5AC0"/>
    <w:rsid w:val="007C3365"/>
    <w:rsid w:val="008144DE"/>
    <w:rsid w:val="008160C0"/>
    <w:rsid w:val="008273D6"/>
    <w:rsid w:val="00844F1E"/>
    <w:rsid w:val="00876E21"/>
    <w:rsid w:val="008815E5"/>
    <w:rsid w:val="00893DA8"/>
    <w:rsid w:val="008B52FA"/>
    <w:rsid w:val="008C594C"/>
    <w:rsid w:val="008C7E38"/>
    <w:rsid w:val="008E03B6"/>
    <w:rsid w:val="008E3897"/>
    <w:rsid w:val="008E4D9E"/>
    <w:rsid w:val="00923B50"/>
    <w:rsid w:val="00927BDD"/>
    <w:rsid w:val="00935E5C"/>
    <w:rsid w:val="0094202D"/>
    <w:rsid w:val="00943754"/>
    <w:rsid w:val="00987367"/>
    <w:rsid w:val="00987781"/>
    <w:rsid w:val="009A7FD6"/>
    <w:rsid w:val="009B4C07"/>
    <w:rsid w:val="009D2A65"/>
    <w:rsid w:val="009D41A4"/>
    <w:rsid w:val="00A1155F"/>
    <w:rsid w:val="00A25279"/>
    <w:rsid w:val="00A3607C"/>
    <w:rsid w:val="00A54A0A"/>
    <w:rsid w:val="00A57630"/>
    <w:rsid w:val="00A61F39"/>
    <w:rsid w:val="00A7245C"/>
    <w:rsid w:val="00A82364"/>
    <w:rsid w:val="00AD7948"/>
    <w:rsid w:val="00AE0866"/>
    <w:rsid w:val="00AF7A20"/>
    <w:rsid w:val="00B004B4"/>
    <w:rsid w:val="00B03FE7"/>
    <w:rsid w:val="00B22309"/>
    <w:rsid w:val="00B34903"/>
    <w:rsid w:val="00B4381C"/>
    <w:rsid w:val="00B463C9"/>
    <w:rsid w:val="00B50C4B"/>
    <w:rsid w:val="00B54AE8"/>
    <w:rsid w:val="00B5729E"/>
    <w:rsid w:val="00B94900"/>
    <w:rsid w:val="00BB2C32"/>
    <w:rsid w:val="00BB37F8"/>
    <w:rsid w:val="00BB6A15"/>
    <w:rsid w:val="00BC0459"/>
    <w:rsid w:val="00BC527E"/>
    <w:rsid w:val="00BE04D5"/>
    <w:rsid w:val="00BE0968"/>
    <w:rsid w:val="00BE426C"/>
    <w:rsid w:val="00BE7BC0"/>
    <w:rsid w:val="00C01316"/>
    <w:rsid w:val="00C205E4"/>
    <w:rsid w:val="00C35453"/>
    <w:rsid w:val="00C43ECF"/>
    <w:rsid w:val="00C459E5"/>
    <w:rsid w:val="00C86B9D"/>
    <w:rsid w:val="00CA051C"/>
    <w:rsid w:val="00CA2DC6"/>
    <w:rsid w:val="00CD08B7"/>
    <w:rsid w:val="00CE10F5"/>
    <w:rsid w:val="00CE56BC"/>
    <w:rsid w:val="00CE6653"/>
    <w:rsid w:val="00CF1E50"/>
    <w:rsid w:val="00D22468"/>
    <w:rsid w:val="00D225AF"/>
    <w:rsid w:val="00D35B78"/>
    <w:rsid w:val="00D4343E"/>
    <w:rsid w:val="00D605E9"/>
    <w:rsid w:val="00D77D42"/>
    <w:rsid w:val="00D97AA6"/>
    <w:rsid w:val="00DB11F2"/>
    <w:rsid w:val="00DB3C83"/>
    <w:rsid w:val="00DC3890"/>
    <w:rsid w:val="00DD55CE"/>
    <w:rsid w:val="00DE77AC"/>
    <w:rsid w:val="00E16745"/>
    <w:rsid w:val="00E430F3"/>
    <w:rsid w:val="00E60345"/>
    <w:rsid w:val="00E94ADA"/>
    <w:rsid w:val="00E94BF8"/>
    <w:rsid w:val="00E97242"/>
    <w:rsid w:val="00EA06D4"/>
    <w:rsid w:val="00EA1A00"/>
    <w:rsid w:val="00EB0D5C"/>
    <w:rsid w:val="00EB4DE9"/>
    <w:rsid w:val="00EC1684"/>
    <w:rsid w:val="00EC5A07"/>
    <w:rsid w:val="00EC6A8E"/>
    <w:rsid w:val="00F029CC"/>
    <w:rsid w:val="00F124ED"/>
    <w:rsid w:val="00F210B4"/>
    <w:rsid w:val="00F27BC6"/>
    <w:rsid w:val="00F42217"/>
    <w:rsid w:val="00F549C8"/>
    <w:rsid w:val="00F93B1E"/>
    <w:rsid w:val="00FA3538"/>
    <w:rsid w:val="00FA6ED9"/>
    <w:rsid w:val="00FB13A0"/>
    <w:rsid w:val="00FB1F19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2A57"/>
  <w15:docId w15:val="{7D3B4B15-D205-4C1E-908F-EF0364C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66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485B18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485B1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5B1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5B18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85B18"/>
    <w:pPr>
      <w:keepNext/>
      <w:spacing w:after="0" w:line="360" w:lineRule="auto"/>
      <w:ind w:left="6804" w:right="-109"/>
      <w:jc w:val="both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85B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485B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485B1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5B18"/>
  </w:style>
  <w:style w:type="paragraph" w:styleId="21">
    <w:name w:val="Body Text 2"/>
    <w:basedOn w:val="a"/>
    <w:link w:val="22"/>
    <w:uiPriority w:val="99"/>
    <w:rsid w:val="00485B1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85B1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85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8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85B1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rsid w:val="00485B18"/>
  </w:style>
  <w:style w:type="paragraph" w:styleId="31">
    <w:name w:val="Body Text Indent 3"/>
    <w:basedOn w:val="a"/>
    <w:link w:val="32"/>
    <w:rsid w:val="00485B18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485B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485B18"/>
    <w:pPr>
      <w:spacing w:after="0" w:line="240" w:lineRule="auto"/>
      <w:ind w:right="467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lock Text"/>
    <w:basedOn w:val="a"/>
    <w:rsid w:val="00485B18"/>
    <w:pPr>
      <w:tabs>
        <w:tab w:val="left" w:pos="9000"/>
      </w:tabs>
      <w:spacing w:after="0" w:line="240" w:lineRule="auto"/>
      <w:ind w:left="5400" w:right="-1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rsid w:val="00485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85B1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485B1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8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485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12">
    <w:name w:val="Сетка таблицы1"/>
    <w:basedOn w:val="a1"/>
    <w:next w:val="a5"/>
    <w:uiPriority w:val="59"/>
    <w:rsid w:val="00485B1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485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485B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485B18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485B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485B18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485B18"/>
  </w:style>
  <w:style w:type="table" w:customStyle="1" w:styleId="112">
    <w:name w:val="Сетка таблицы11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485B1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485B1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85B18"/>
    <w:pPr>
      <w:spacing w:after="100"/>
    </w:pPr>
    <w:rPr>
      <w:rFonts w:ascii="Calibri" w:eastAsia="Times New Roman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485B18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485B18"/>
  </w:style>
  <w:style w:type="paragraph" w:styleId="afa">
    <w:name w:val="footnote text"/>
    <w:basedOn w:val="a"/>
    <w:link w:val="afb"/>
    <w:uiPriority w:val="99"/>
    <w:unhideWhenUsed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485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485B1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485B18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485B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10">
    <w:name w:val="Сетка таблицы111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5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485B18"/>
  </w:style>
  <w:style w:type="character" w:styleId="afe">
    <w:name w:val="Emphasis"/>
    <w:uiPriority w:val="20"/>
    <w:qFormat/>
    <w:rsid w:val="00485B18"/>
    <w:rPr>
      <w:i/>
      <w:iCs/>
    </w:rPr>
  </w:style>
  <w:style w:type="table" w:customStyle="1" w:styleId="120">
    <w:name w:val="Сетка таблицы12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485B18"/>
  </w:style>
  <w:style w:type="table" w:customStyle="1" w:styleId="51">
    <w:name w:val="Сетка таблицы5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485B18"/>
    <w:rPr>
      <w:color w:val="800080"/>
      <w:u w:val="single"/>
    </w:rPr>
  </w:style>
  <w:style w:type="character" w:customStyle="1" w:styleId="af8">
    <w:name w:val="Без интервала Знак"/>
    <w:link w:val="af7"/>
    <w:uiPriority w:val="1"/>
    <w:rsid w:val="00485B18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485B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Strong"/>
    <w:uiPriority w:val="22"/>
    <w:qFormat/>
    <w:rsid w:val="00485B18"/>
    <w:rPr>
      <w:b/>
      <w:bCs/>
    </w:rPr>
  </w:style>
  <w:style w:type="paragraph" w:customStyle="1" w:styleId="16">
    <w:name w:val="Название объекта1"/>
    <w:basedOn w:val="a"/>
    <w:next w:val="a"/>
    <w:rsid w:val="00485B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0">
    <w:name w:val="FollowedHyperlink"/>
    <w:basedOn w:val="a0"/>
    <w:uiPriority w:val="99"/>
    <w:semiHidden/>
    <w:unhideWhenUsed/>
    <w:rsid w:val="00485B18"/>
    <w:rPr>
      <w:color w:val="800080" w:themeColor="followedHyperlink"/>
      <w:u w:val="single"/>
    </w:rPr>
  </w:style>
  <w:style w:type="numbering" w:customStyle="1" w:styleId="42">
    <w:name w:val="Нет списка4"/>
    <w:next w:val="a2"/>
    <w:semiHidden/>
    <w:rsid w:val="005346BB"/>
  </w:style>
  <w:style w:type="table" w:customStyle="1" w:styleId="61">
    <w:name w:val="Сетка таблицы6"/>
    <w:basedOn w:val="a1"/>
    <w:next w:val="a5"/>
    <w:rsid w:val="0053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5346BB"/>
  </w:style>
  <w:style w:type="table" w:customStyle="1" w:styleId="140">
    <w:name w:val="Сетка таблицы14"/>
    <w:basedOn w:val="a1"/>
    <w:next w:val="a5"/>
    <w:uiPriority w:val="59"/>
    <w:rsid w:val="005346B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346BB"/>
  </w:style>
  <w:style w:type="table" w:customStyle="1" w:styleId="1121">
    <w:name w:val="Сетка таблицы112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346BB"/>
  </w:style>
  <w:style w:type="table" w:customStyle="1" w:styleId="410">
    <w:name w:val="Сетка таблицы4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5346BB"/>
  </w:style>
  <w:style w:type="table" w:customStyle="1" w:styleId="510">
    <w:name w:val="Сетка таблицы5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36DK0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olodyozh_ksv?w=wall-63945522_7769.%2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yperlink" Target="consultantplus://offline/ref=81C534AC1618B38338B7138DDEB14344F59B417381706259B468524054C32ECBB30FCA5546109B5D4A4FB66D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</dc:creator>
  <cp:keywords/>
  <dc:description/>
  <cp:lastModifiedBy>Админ</cp:lastModifiedBy>
  <cp:revision>39</cp:revision>
  <cp:lastPrinted>2023-08-09T10:21:00Z</cp:lastPrinted>
  <dcterms:created xsi:type="dcterms:W3CDTF">2018-01-29T12:37:00Z</dcterms:created>
  <dcterms:modified xsi:type="dcterms:W3CDTF">2023-08-09T11:08:00Z</dcterms:modified>
</cp:coreProperties>
</file>